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E58F6" w14:textId="77777777" w:rsidR="009163ED" w:rsidRDefault="009163ED" w:rsidP="009163ED">
      <w:pPr>
        <w:pStyle w:val="Heading1"/>
      </w:pPr>
      <w:r>
        <w:t>When Exclusion is the Answer: The Simon Kallu Case</w:t>
      </w:r>
    </w:p>
    <w:p w14:paraId="2327BF3E" w14:textId="77777777" w:rsidR="009163ED" w:rsidRDefault="009163ED" w:rsidP="00753326">
      <w:pPr>
        <w:jc w:val="left"/>
      </w:pPr>
      <w:r>
        <w:t>ICAEW Disciplinary Cases 061321/MATT &amp; 066540/MATT (November 2025)</w:t>
      </w:r>
    </w:p>
    <w:p w14:paraId="46E07A53" w14:textId="77777777" w:rsidR="00753326" w:rsidRDefault="00753326" w:rsidP="00753326">
      <w:pPr>
        <w:jc w:val="left"/>
      </w:pPr>
    </w:p>
    <w:p w14:paraId="2CC1A2F6" w14:textId="77777777" w:rsidR="009163ED" w:rsidRDefault="009163ED" w:rsidP="009163ED">
      <w:pPr>
        <w:pStyle w:val="Heading2"/>
        <w:spacing w:after="120"/>
      </w:pPr>
      <w:r>
        <w:t>The Case</w:t>
      </w:r>
    </w:p>
    <w:p w14:paraId="1B9584EC" w14:textId="2304051C" w:rsidR="009163ED" w:rsidRDefault="009163ED" w:rsidP="009163ED">
      <w:pPr>
        <w:jc w:val="left"/>
      </w:pPr>
      <w:r>
        <w:t>On 10 and 11 November 2025, the ICAEW Disciplinary Committee heard two cases against Simon Richard Kallu FCA, a member since June 2010. The hearings produced different outcomes: a reprimand for regulatory failures (ICAEW, 2025b, p.30) and, for the more serious dishonesty allegations, permanent exclusion (ICAEW, 2025a, p.29).</w:t>
      </w:r>
    </w:p>
    <w:p w14:paraId="52190522" w14:textId="77777777" w:rsidR="009163ED" w:rsidRDefault="009163ED" w:rsidP="009163ED">
      <w:pPr>
        <w:jc w:val="left"/>
      </w:pPr>
    </w:p>
    <w:p w14:paraId="47561862" w14:textId="037F38B9" w:rsidR="0024600E" w:rsidRDefault="0024600E" w:rsidP="009163ED">
      <w:pPr>
        <w:pStyle w:val="BodyText"/>
        <w:jc w:val="left"/>
      </w:pPr>
      <w:r>
        <w:t xml:space="preserve">The tribunal findings were </w:t>
      </w:r>
      <w:proofErr w:type="gramStart"/>
      <w:r>
        <w:t>damning:</w:t>
      </w:r>
      <w:proofErr w:type="gramEnd"/>
      <w:r>
        <w:t xml:space="preserve"> furlough fraud of £15,072.37 while staff kept working; personal mortgage interest and home improvement costs charged to the company; undisclosed directors’ loans peaking at £129,399.29. Each breach was contrary to R111.1 and R111.2 of the ICAEW Code of Ethics (ICAEW, 2025c, p.16), making him liable to disciplinary action under Disciplinary </w:t>
      </w:r>
      <w:proofErr w:type="gramStart"/>
      <w:r>
        <w:t>Bye-law</w:t>
      </w:r>
      <w:proofErr w:type="gramEnd"/>
      <w:r>
        <w:t xml:space="preserve"> 4.1(a) (ICAEW, 2026, p.14-15). This proved that the ultimate sanction of exclusion - permitted under </w:t>
      </w:r>
      <w:proofErr w:type="gramStart"/>
      <w:r>
        <w:t>Bye-law</w:t>
      </w:r>
      <w:proofErr w:type="gramEnd"/>
      <w:r>
        <w:t xml:space="preserve"> 11.1(a)(</w:t>
      </w:r>
      <w:proofErr w:type="spellStart"/>
      <w:r>
        <w:t>i</w:t>
      </w:r>
      <w:proofErr w:type="spellEnd"/>
      <w:r>
        <w:t>) (ICAEW, 2026, p.21) - was warranted, as the Tribunal found his misconduct to be 'incompatible with continuing membership' (ICAEW, 2025a, p.29).</w:t>
      </w:r>
    </w:p>
    <w:p w14:paraId="266C9C9F" w14:textId="77777777" w:rsidR="00041689" w:rsidRDefault="00041689" w:rsidP="009163ED">
      <w:pPr>
        <w:pStyle w:val="BodyText"/>
        <w:jc w:val="left"/>
      </w:pPr>
    </w:p>
    <w:p w14:paraId="4CF23574" w14:textId="10B3A404" w:rsidR="009163ED" w:rsidRDefault="009163ED" w:rsidP="009163ED">
      <w:pPr>
        <w:pStyle w:val="BodyText"/>
        <w:jc w:val="left"/>
      </w:pPr>
      <w:r>
        <w:t>The tribunal identified no mitigating features; Mr Kallu advanced none, and none were found independently (ICAEW, 2025a, p.29). The full picture of the aggravating features was substantial: dishonesty repeated across several years; exploiting Coronavirus Job Retention Scheme (CJRS) during a pandemic existing to protect workers, found likely to ‘undermine public confidence in the profession to a significant extent’ (ICAEW, 2025a, p.29); and a Fellow since 2010 whose failures spanned both basic accountancy and his specific areas of expertise. The tribunal concluded his conduct sat at the higher end of the dishonesty spectrum.</w:t>
      </w:r>
    </w:p>
    <w:p w14:paraId="02F9726B" w14:textId="77777777" w:rsidR="009163ED" w:rsidRDefault="009163ED" w:rsidP="009163ED"/>
    <w:p w14:paraId="36A72D17" w14:textId="77777777" w:rsidR="009163ED" w:rsidRDefault="009163ED" w:rsidP="009163ED">
      <w:pPr>
        <w:pStyle w:val="Heading2"/>
        <w:spacing w:after="120"/>
      </w:pPr>
      <w:r>
        <w:lastRenderedPageBreak/>
        <w:t>Applying Ethical Theories</w:t>
      </w:r>
    </w:p>
    <w:p w14:paraId="4679AA5E" w14:textId="77777777" w:rsidR="009163ED" w:rsidRDefault="009163ED" w:rsidP="009163ED">
      <w:pPr>
        <w:pStyle w:val="Heading3"/>
        <w:spacing w:after="120"/>
      </w:pPr>
      <w:r>
        <w:t>Utilitarianism: Weighing the Outcomes</w:t>
      </w:r>
    </w:p>
    <w:p w14:paraId="4489AEEA" w14:textId="77777777" w:rsidR="009163ED" w:rsidRDefault="009163ED" w:rsidP="009163ED">
      <w:pPr>
        <w:jc w:val="left"/>
      </w:pPr>
      <w:r>
        <w:t xml:space="preserve">Utilitarianism </w:t>
      </w:r>
      <w:proofErr w:type="gramStart"/>
      <w:r>
        <w:t>judges</w:t>
      </w:r>
      <w:proofErr w:type="gramEnd"/>
      <w:r>
        <w:t xml:space="preserve"> actions by their consequences. Bentham and Mill’s classic formulation: the greatest happiness for the greatest number (Crane and Matten, 2019, p.97). </w:t>
      </w:r>
      <w:proofErr w:type="gramStart"/>
      <w:r>
        <w:t>So</w:t>
      </w:r>
      <w:proofErr w:type="gramEnd"/>
      <w:r>
        <w:t xml:space="preserve"> looking at Mr. Kallu’s case, does his exclusion produce more good than harm?</w:t>
      </w:r>
    </w:p>
    <w:p w14:paraId="71082DE2" w14:textId="77777777" w:rsidR="009163ED" w:rsidRDefault="009163ED" w:rsidP="009163ED">
      <w:pPr>
        <w:jc w:val="left"/>
      </w:pPr>
    </w:p>
    <w:p w14:paraId="4839853A" w14:textId="322AA90A" w:rsidR="009163ED" w:rsidRDefault="0024600E" w:rsidP="009163ED">
      <w:pPr>
        <w:jc w:val="left"/>
      </w:pPr>
      <w:r>
        <w:t>You could argue it does. Removing him protects future clients and signals to the profession. The CJRS fraud diverted over £15,000 from pandemic public funds, and falsified expenses reduced the company’s tax liability for years, all quantifiable harm. Utilitarian logic says the trade-off holds. But utilitarianism can get messy. Could suspension and retraining have achieved the same result? If rehabilitation was possible, exclusion seems like a net loss in utility without clear public gain. Without hard data on deterrence, the utilitarian case can be seen as mostly speculation.</w:t>
      </w:r>
    </w:p>
    <w:p w14:paraId="61B8EB1E" w14:textId="77777777" w:rsidR="009163ED" w:rsidRDefault="009163ED" w:rsidP="009163ED"/>
    <w:p w14:paraId="0E20D111" w14:textId="77777777" w:rsidR="009163ED" w:rsidRDefault="009163ED" w:rsidP="009163ED">
      <w:pPr>
        <w:pStyle w:val="Heading3"/>
        <w:spacing w:after="120"/>
      </w:pPr>
      <w:r>
        <w:t>Deontology: Rules, Duty, and Integrity</w:t>
      </w:r>
    </w:p>
    <w:p w14:paraId="7526284F" w14:textId="562238F1" w:rsidR="009163ED" w:rsidRDefault="009163ED" w:rsidP="009163ED">
      <w:pPr>
        <w:jc w:val="left"/>
      </w:pPr>
      <w:r>
        <w:t xml:space="preserve">Deontology ignores the fallout and focuses purely on duty. Kant’s categorical imperative: an action is only right if it holds up as a universal law, treating people as ends, not tools for gain (Fisher and Lovell, 2006, p.108; Trevino and Nelson, 2020, p.43). Mr Kallu’s exclusion wasn’t about maximising happiness but about a non-negotiable duty to act with integrity. </w:t>
      </w:r>
      <w:proofErr w:type="gramStart"/>
      <w:r>
        <w:t>Clients</w:t>
      </w:r>
      <w:proofErr w:type="gramEnd"/>
      <w:r>
        <w:t xml:space="preserve"> hand over their entire financial lives based on that trust. Break it, and you’ve failed the fundamental duty of the role.</w:t>
      </w:r>
    </w:p>
    <w:p w14:paraId="53E55ED3" w14:textId="221B7FFE" w:rsidR="009163ED" w:rsidRDefault="009163ED" w:rsidP="009163ED">
      <w:pPr>
        <w:jc w:val="left"/>
      </w:pPr>
      <w:r>
        <w:br/>
        <w:t xml:space="preserve">The problem with this “duty-first” approach is rigidity; it doesn’t see things proportionally. It also struggles when duties genuinely conflict (ICAEW, 2025c, p.15). In Kallu’s case, this limitation didn’t </w:t>
      </w:r>
      <w:proofErr w:type="gramStart"/>
      <w:r>
        <w:t>apply:</w:t>
      </w:r>
      <w:proofErr w:type="gramEnd"/>
      <w:r>
        <w:t xml:space="preserve"> there was no genuine duty conflict. He knew what the right thing to do was, and chose otherwise, for financial gain (ICAEW, 2025a, p.29).</w:t>
      </w:r>
    </w:p>
    <w:p w14:paraId="2173B5DF" w14:textId="77777777" w:rsidR="0024600E" w:rsidRDefault="0024600E" w:rsidP="009163ED">
      <w:pPr>
        <w:jc w:val="left"/>
      </w:pPr>
    </w:p>
    <w:p w14:paraId="6F14F118" w14:textId="77777777" w:rsidR="0024600E" w:rsidRDefault="0024600E" w:rsidP="009163ED">
      <w:pPr>
        <w:jc w:val="left"/>
      </w:pPr>
      <w:r>
        <w:lastRenderedPageBreak/>
        <w:t>That said, deontologically, exclusion is consistent. If rules apply universally, ‘a member who acts dishonestly forfeits membership’ holds regardless of seniority or circumstance. Kant doesn’t permit leniency based on consequences: the duty was clear, it was knowingly violated, and the appropriate response follows (Kant, 1998; Crane et al., 2019, p.107).</w:t>
      </w:r>
    </w:p>
    <w:p w14:paraId="117211B2" w14:textId="77777777" w:rsidR="009163ED" w:rsidRDefault="009163ED" w:rsidP="009163ED"/>
    <w:p w14:paraId="601D8366" w14:textId="77777777" w:rsidR="009163ED" w:rsidRDefault="009163ED" w:rsidP="009163ED">
      <w:pPr>
        <w:pStyle w:val="Heading2"/>
        <w:spacing w:after="120"/>
      </w:pPr>
      <w:r>
        <w:t>Was It Fair?</w:t>
      </w:r>
    </w:p>
    <w:p w14:paraId="20562C5B" w14:textId="0FE030FF" w:rsidR="004D33F1" w:rsidRDefault="004D33F1" w:rsidP="004D33F1">
      <w:pPr>
        <w:jc w:val="left"/>
      </w:pPr>
      <w:r>
        <w:t xml:space="preserve">Procedurally? Yes. Substantively? </w:t>
      </w:r>
      <w:proofErr w:type="gramStart"/>
      <w:r>
        <w:t>Also</w:t>
      </w:r>
      <w:proofErr w:type="gramEnd"/>
      <w:r>
        <w:t xml:space="preserve"> yes. Furlough fraud, falsified expenses, undisclosed loans, Anti-Money Laundering (AML) failures across four years. Exclusion in the dishonesty case, a reprimand in the regulatory case, £23,000 in penalties and £50,000 in costs; proportionate to both the scale and duration of the wrongdoing. That said, exclusion ends a career. But fairness isn’t leniency; it’s proportionality. The combined sanctions suggest the Committee saw a pattern, not a slip-up.</w:t>
      </w:r>
    </w:p>
    <w:p w14:paraId="24F062F2" w14:textId="77777777" w:rsidR="004D33F1" w:rsidRDefault="004D33F1" w:rsidP="004D33F1">
      <w:pPr>
        <w:jc w:val="left"/>
      </w:pPr>
    </w:p>
    <w:p w14:paraId="3510A71F" w14:textId="0F32B5C0" w:rsidR="004D33F1" w:rsidRDefault="004D33F1" w:rsidP="004D33F1">
      <w:pPr>
        <w:jc w:val="left"/>
      </w:pPr>
      <w:r>
        <w:t xml:space="preserve">The finality still sits uncomfortably. Utilitarianism asks if he could be useful again; deontology just points at the broken rule. Professional ethics isn’t about a winning </w:t>
      </w:r>
      <w:proofErr w:type="gramStart"/>
      <w:r>
        <w:t>theory,</w:t>
      </w:r>
      <w:proofErr w:type="gramEnd"/>
      <w:r>
        <w:t xml:space="preserve"> it’s about living in the tension between them. When they don’t align, the choice reveals what matters more: outcomes or principles?</w:t>
      </w:r>
    </w:p>
    <w:p w14:paraId="608B76A3" w14:textId="77777777" w:rsidR="00A43144" w:rsidRDefault="00A43144" w:rsidP="004D33F1">
      <w:pPr>
        <w:jc w:val="left"/>
      </w:pPr>
    </w:p>
    <w:p w14:paraId="5AE8157F" w14:textId="699E04BC" w:rsidR="00FE4FDA" w:rsidRDefault="00957304">
      <w:r>
        <w:t xml:space="preserve">Consider a newly qualified accountant discovering a client has over-claimed expenses. The utilitarian pull is against speaking up as it risks the relationship, brings scrutiny to the firm. The deontological position is harder: R111.1 requires not knowingly associating with false information and ‘requires an accountant to be straightforward and honest in all professional and business relationships’, with no exceptions (ICAEW, 2025c, p.16). Both frameworks point in opposite directions. One </w:t>
      </w:r>
      <w:proofErr w:type="gramStart"/>
      <w:r>
        <w:t>has to</w:t>
      </w:r>
      <w:proofErr w:type="gramEnd"/>
      <w:r>
        <w:t xml:space="preserve"> win.</w:t>
      </w:r>
    </w:p>
    <w:p w14:paraId="148D7CAF" w14:textId="77777777" w:rsidR="004D33F1" w:rsidRDefault="004D33F1" w:rsidP="004D33F1">
      <w:pPr>
        <w:jc w:val="left"/>
      </w:pPr>
    </w:p>
    <w:p w14:paraId="12F50D5C" w14:textId="743C8A39" w:rsidR="004D33F1" w:rsidRDefault="004D33F1" w:rsidP="004D33F1">
      <w:pPr>
        <w:jc w:val="left"/>
      </w:pPr>
      <w:r>
        <w:t xml:space="preserve">For those entering the profession, the takeaway is quite blunt: these codes aren’t just suggestions. They’re what defines an accountant. Breach </w:t>
      </w:r>
      <w:proofErr w:type="gramStart"/>
      <w:r>
        <w:t>them, and</w:t>
      </w:r>
      <w:proofErr w:type="gramEnd"/>
      <w:r>
        <w:t xml:space="preserve"> not only do you </w:t>
      </w:r>
      <w:r>
        <w:lastRenderedPageBreak/>
        <w:t>risk losing your job but also losing the professional identity built over years. Mr Kallu isn’t an accountant anymore because his actions made that title a lie. Ethical failures aren’t just errors; they are, in effect, self-destruction.</w:t>
      </w:r>
    </w:p>
    <w:p w14:paraId="5E0E3658" w14:textId="77777777" w:rsidR="009163ED" w:rsidRDefault="009163ED" w:rsidP="009163ED"/>
    <w:p w14:paraId="6247C973" w14:textId="77777777" w:rsidR="009163ED" w:rsidRDefault="009163ED" w:rsidP="009163ED">
      <w:pPr>
        <w:pStyle w:val="Heading2"/>
        <w:spacing w:after="120"/>
      </w:pPr>
      <w:r>
        <w:t>References</w:t>
      </w:r>
    </w:p>
    <w:p w14:paraId="770827CD" w14:textId="77777777" w:rsidR="0024600E" w:rsidRDefault="0024600E" w:rsidP="0024600E">
      <w:pPr>
        <w:jc w:val="left"/>
      </w:pPr>
      <w:r>
        <w:t xml:space="preserve">Crane, A., Matten, D., Glozer, S. and Spence, L. (2019) Business Ethics: Managing Corporate Citizenship and Sustainability in the Age of Globalization. 5th </w:t>
      </w:r>
      <w:proofErr w:type="spellStart"/>
      <w:r>
        <w:t>edn</w:t>
      </w:r>
      <w:proofErr w:type="spellEnd"/>
      <w:r>
        <w:t>. Oxford: Oxford University Press.</w:t>
      </w:r>
    </w:p>
    <w:p w14:paraId="0EEBDA50" w14:textId="77777777" w:rsidR="0024600E" w:rsidRDefault="0024600E" w:rsidP="0024600E">
      <w:pPr>
        <w:pStyle w:val="BodyText"/>
        <w:jc w:val="left"/>
      </w:pPr>
      <w:r>
        <w:t xml:space="preserve">Fisher, C. and Lovell, A. (2006) Business Ethics and Values: Individual, Corporate and International Perspectives. 2nd </w:t>
      </w:r>
      <w:proofErr w:type="spellStart"/>
      <w:r>
        <w:t>edn</w:t>
      </w:r>
      <w:proofErr w:type="spellEnd"/>
      <w:r>
        <w:t>. Harlow: Pearson Education.</w:t>
      </w:r>
    </w:p>
    <w:p w14:paraId="0922E5D7" w14:textId="44956BBA" w:rsidR="0024600E" w:rsidRDefault="0024600E" w:rsidP="0024600E">
      <w:pPr>
        <w:pStyle w:val="BodyText"/>
        <w:jc w:val="left"/>
      </w:pPr>
      <w:r>
        <w:t xml:space="preserve">ICAEW (2026) Disciplinary </w:t>
      </w:r>
      <w:proofErr w:type="gramStart"/>
      <w:r>
        <w:t>Bye-laws</w:t>
      </w:r>
      <w:proofErr w:type="gramEnd"/>
      <w:r>
        <w:t>. London: Institute of Chartered Accountants in England and Wales. Available at: https://www.icaew.com/-/media/corporate/files/regulations/regulatory-news/new-disciplinary-framework-2023/icaew-disciplinary-bye-laws-jan-2026.ashx (Accessed: 22 February 2026).</w:t>
      </w:r>
    </w:p>
    <w:p w14:paraId="6E888069" w14:textId="77777777" w:rsidR="0024600E" w:rsidRDefault="0024600E" w:rsidP="0024600E">
      <w:pPr>
        <w:pStyle w:val="BodyText"/>
        <w:jc w:val="left"/>
      </w:pPr>
      <w:r>
        <w:t>ICAEW (2025a) Case No. 061321/MATT: Disciplinary Committee Publicity Statement. London: Institute of Chartered Accountants in England and Wales. Available at: https://www.icaew.com/-/media/corporate/ddb/061321MATT-4396186-Pdf_DC_Publicity_Statement.ashx (Accessed: 23 February 2026).</w:t>
      </w:r>
    </w:p>
    <w:p w14:paraId="05B34139" w14:textId="77777777" w:rsidR="0024600E" w:rsidRDefault="0024600E" w:rsidP="0024600E">
      <w:pPr>
        <w:pStyle w:val="BodyText"/>
        <w:jc w:val="left"/>
      </w:pPr>
      <w:r>
        <w:t>ICAEW (2025b) Case No. 066540/MATT: Disciplinary Committee Publicity Statement. London: Institute of Chartered Accountants in England and Wales. Available at: https://www.icaew.com/-/media/corporate/ddb/066540MATT-4396201-Pdf_DC_Publicity_Statement.ashx (Accessed: 23 February 2026).</w:t>
      </w:r>
    </w:p>
    <w:p w14:paraId="1DCB5196" w14:textId="7C473C44" w:rsidR="00DD4203" w:rsidRDefault="00DD4203" w:rsidP="0024600E">
      <w:pPr>
        <w:pStyle w:val="BodyText"/>
        <w:jc w:val="left"/>
      </w:pPr>
      <w:r>
        <w:t>ICAEW (2025c) Code of Ethics. London: Institute of Chartered Accountants in England and Wales. Available at: https://www.icaew.com/-/media/corporate/files/technical/ethics/code-of-ethics/icaew-code-of-ethics-2025.ashx (Accessed: 22 February 2026).</w:t>
      </w:r>
    </w:p>
    <w:p w14:paraId="48D9CB99" w14:textId="77777777" w:rsidR="00E52321" w:rsidRDefault="00E52321" w:rsidP="0024600E">
      <w:pPr>
        <w:pStyle w:val="BodyText"/>
        <w:jc w:val="left"/>
      </w:pPr>
      <w:r>
        <w:t>Kant, I. (1998) Groundwork of the Metaphysics of Morals. Translated by M. Gregor. Cambridge: Cambridge University Press.</w:t>
      </w:r>
    </w:p>
    <w:p w14:paraId="666486A5" w14:textId="77777777" w:rsidR="0024600E" w:rsidRDefault="0024600E" w:rsidP="0024600E">
      <w:pPr>
        <w:pStyle w:val="BodyText"/>
        <w:jc w:val="left"/>
      </w:pPr>
      <w:r>
        <w:lastRenderedPageBreak/>
        <w:t xml:space="preserve">Trevino, L.K. and Nelson, K.A. (2020) Managing Business Ethics: Straight Talk about How to Do It Right. 7th </w:t>
      </w:r>
      <w:proofErr w:type="spellStart"/>
      <w:r>
        <w:t>edn</w:t>
      </w:r>
      <w:proofErr w:type="spellEnd"/>
      <w:r>
        <w:t>. Hoboken, NJ: Wiley.</w:t>
      </w:r>
    </w:p>
    <w:p w14:paraId="398E4E85" w14:textId="77777777" w:rsidR="009163ED" w:rsidRDefault="009163ED" w:rsidP="009163ED"/>
    <w:p w14:paraId="23671158" w14:textId="77777777" w:rsidR="00B308B5" w:rsidRPr="00E35C10" w:rsidRDefault="00B308B5" w:rsidP="00E35C10"/>
    <w:sectPr w:rsidR="00B308B5" w:rsidRPr="00E35C10" w:rsidSect="00B308B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1F95E" w14:textId="77777777" w:rsidR="002E5813" w:rsidRDefault="002E5813">
      <w:pPr>
        <w:spacing w:after="0" w:line="240" w:lineRule="auto"/>
      </w:pPr>
      <w:r>
        <w:separator/>
      </w:r>
    </w:p>
  </w:endnote>
  <w:endnote w:type="continuationSeparator" w:id="0">
    <w:p w14:paraId="3E3C0654" w14:textId="77777777" w:rsidR="002E5813" w:rsidRDefault="002E5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E4176" w14:textId="77777777" w:rsidR="002E5813" w:rsidRDefault="002E5813">
      <w:pPr>
        <w:spacing w:after="0" w:line="240" w:lineRule="auto"/>
      </w:pPr>
      <w:r>
        <w:separator/>
      </w:r>
    </w:p>
  </w:footnote>
  <w:footnote w:type="continuationSeparator" w:id="0">
    <w:p w14:paraId="78316CB6" w14:textId="77777777" w:rsidR="002E5813" w:rsidRDefault="002E58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22D32" w14:textId="77777777" w:rsidR="00B308B5" w:rsidRDefault="00B308B5">
    <w:pPr>
      <w:pStyle w:val="Header"/>
    </w:pPr>
    <w:r>
      <w:t>Student Number: 21801886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8B5"/>
    <w:rsid w:val="00037429"/>
    <w:rsid w:val="00041689"/>
    <w:rsid w:val="00076189"/>
    <w:rsid w:val="00094DEF"/>
    <w:rsid w:val="000952A9"/>
    <w:rsid w:val="000965F3"/>
    <w:rsid w:val="000B2CB5"/>
    <w:rsid w:val="000D3626"/>
    <w:rsid w:val="001442F3"/>
    <w:rsid w:val="00145538"/>
    <w:rsid w:val="00183FB4"/>
    <w:rsid w:val="001B3D0F"/>
    <w:rsid w:val="001C6526"/>
    <w:rsid w:val="00217319"/>
    <w:rsid w:val="00220B5F"/>
    <w:rsid w:val="002344E0"/>
    <w:rsid w:val="0024600E"/>
    <w:rsid w:val="00267F08"/>
    <w:rsid w:val="002775D8"/>
    <w:rsid w:val="002A083D"/>
    <w:rsid w:val="002E5813"/>
    <w:rsid w:val="003046DA"/>
    <w:rsid w:val="003605D7"/>
    <w:rsid w:val="00366F95"/>
    <w:rsid w:val="003948A0"/>
    <w:rsid w:val="003C3DAB"/>
    <w:rsid w:val="003C70DA"/>
    <w:rsid w:val="003C76DF"/>
    <w:rsid w:val="003F03DC"/>
    <w:rsid w:val="003F57AD"/>
    <w:rsid w:val="004246F7"/>
    <w:rsid w:val="0047074D"/>
    <w:rsid w:val="00470F51"/>
    <w:rsid w:val="00483308"/>
    <w:rsid w:val="00496840"/>
    <w:rsid w:val="004A26F5"/>
    <w:rsid w:val="004B4F65"/>
    <w:rsid w:val="004D33F1"/>
    <w:rsid w:val="005076DF"/>
    <w:rsid w:val="00525C0F"/>
    <w:rsid w:val="00561AFE"/>
    <w:rsid w:val="005876A9"/>
    <w:rsid w:val="0059541D"/>
    <w:rsid w:val="005C54CD"/>
    <w:rsid w:val="005E30FD"/>
    <w:rsid w:val="006243A6"/>
    <w:rsid w:val="006746A8"/>
    <w:rsid w:val="00683F61"/>
    <w:rsid w:val="006A5653"/>
    <w:rsid w:val="006B6552"/>
    <w:rsid w:val="006E6022"/>
    <w:rsid w:val="006F5F72"/>
    <w:rsid w:val="00701B9E"/>
    <w:rsid w:val="0070252A"/>
    <w:rsid w:val="00710F04"/>
    <w:rsid w:val="00737099"/>
    <w:rsid w:val="007451A9"/>
    <w:rsid w:val="00753326"/>
    <w:rsid w:val="0076086C"/>
    <w:rsid w:val="007A17C1"/>
    <w:rsid w:val="007A49C9"/>
    <w:rsid w:val="007D0C87"/>
    <w:rsid w:val="00855BFC"/>
    <w:rsid w:val="00863BFD"/>
    <w:rsid w:val="0089051E"/>
    <w:rsid w:val="00896568"/>
    <w:rsid w:val="008C0A43"/>
    <w:rsid w:val="008C3ADD"/>
    <w:rsid w:val="008F7647"/>
    <w:rsid w:val="008F78F5"/>
    <w:rsid w:val="009163ED"/>
    <w:rsid w:val="00927D2D"/>
    <w:rsid w:val="00941B23"/>
    <w:rsid w:val="009554F7"/>
    <w:rsid w:val="00957304"/>
    <w:rsid w:val="009650D6"/>
    <w:rsid w:val="00995D66"/>
    <w:rsid w:val="009B525B"/>
    <w:rsid w:val="00A007D7"/>
    <w:rsid w:val="00A20002"/>
    <w:rsid w:val="00A277CD"/>
    <w:rsid w:val="00A278C8"/>
    <w:rsid w:val="00A33B82"/>
    <w:rsid w:val="00A43144"/>
    <w:rsid w:val="00A53A42"/>
    <w:rsid w:val="00A677CB"/>
    <w:rsid w:val="00A774A3"/>
    <w:rsid w:val="00A95644"/>
    <w:rsid w:val="00A97F57"/>
    <w:rsid w:val="00AB571A"/>
    <w:rsid w:val="00AF40EE"/>
    <w:rsid w:val="00B05793"/>
    <w:rsid w:val="00B070FA"/>
    <w:rsid w:val="00B15A7C"/>
    <w:rsid w:val="00B17A74"/>
    <w:rsid w:val="00B308B5"/>
    <w:rsid w:val="00B357AC"/>
    <w:rsid w:val="00B55FA9"/>
    <w:rsid w:val="00B70689"/>
    <w:rsid w:val="00B73657"/>
    <w:rsid w:val="00B7736A"/>
    <w:rsid w:val="00BC2830"/>
    <w:rsid w:val="00BD374A"/>
    <w:rsid w:val="00BF1FB4"/>
    <w:rsid w:val="00C25BD2"/>
    <w:rsid w:val="00C5148F"/>
    <w:rsid w:val="00C71CE9"/>
    <w:rsid w:val="00C761B9"/>
    <w:rsid w:val="00C97C80"/>
    <w:rsid w:val="00D15727"/>
    <w:rsid w:val="00D34D40"/>
    <w:rsid w:val="00D82995"/>
    <w:rsid w:val="00DA14C4"/>
    <w:rsid w:val="00DA71C5"/>
    <w:rsid w:val="00DB3A5A"/>
    <w:rsid w:val="00DD4203"/>
    <w:rsid w:val="00DE2D99"/>
    <w:rsid w:val="00E13272"/>
    <w:rsid w:val="00E26620"/>
    <w:rsid w:val="00E351AD"/>
    <w:rsid w:val="00E35C10"/>
    <w:rsid w:val="00E52321"/>
    <w:rsid w:val="00E52417"/>
    <w:rsid w:val="00E613A4"/>
    <w:rsid w:val="00E82B50"/>
    <w:rsid w:val="00EA15D6"/>
    <w:rsid w:val="00EC512B"/>
    <w:rsid w:val="00F17000"/>
    <w:rsid w:val="00F2124F"/>
    <w:rsid w:val="00F37229"/>
    <w:rsid w:val="00F42472"/>
    <w:rsid w:val="00F941DB"/>
    <w:rsid w:val="00FE0668"/>
    <w:rsid w:val="00FE31DC"/>
    <w:rsid w:val="00FE4FDA"/>
    <w:rsid w:val="00FF49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F0F39"/>
  <w15:chartTrackingRefBased/>
  <w15:docId w15:val="{84FC636E-2F63-4D9F-A66A-0626449D5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8B5"/>
    <w:pPr>
      <w:jc w:val="both"/>
    </w:pPr>
    <w:rPr>
      <w:color w:val="000000"/>
    </w:rPr>
  </w:style>
  <w:style w:type="paragraph" w:styleId="Heading1">
    <w:name w:val="heading 1"/>
    <w:basedOn w:val="Normal"/>
    <w:next w:val="Normal"/>
    <w:link w:val="Heading1Char"/>
    <w:uiPriority w:val="9"/>
    <w:qFormat/>
    <w:rsid w:val="00B308B5"/>
    <w:pPr>
      <w:keepNext/>
      <w:keepLines/>
      <w:spacing w:before="240"/>
      <w:jc w:val="left"/>
      <w:outlineLvl w:val="0"/>
    </w:pPr>
    <w:rPr>
      <w:b/>
      <w:sz w:val="32"/>
      <w:szCs w:val="32"/>
    </w:rPr>
  </w:style>
  <w:style w:type="paragraph" w:styleId="Heading2">
    <w:name w:val="heading 2"/>
    <w:basedOn w:val="Normal"/>
    <w:next w:val="Normal"/>
    <w:link w:val="Heading2Char"/>
    <w:uiPriority w:val="9"/>
    <w:unhideWhenUsed/>
    <w:qFormat/>
    <w:rsid w:val="00B308B5"/>
    <w:pPr>
      <w:keepNext/>
      <w:keepLines/>
      <w:spacing w:before="160" w:after="80"/>
      <w:jc w:val="left"/>
      <w:outlineLvl w:val="1"/>
    </w:pPr>
    <w:rPr>
      <w:b/>
      <w:sz w:val="28"/>
      <w:szCs w:val="28"/>
    </w:rPr>
  </w:style>
  <w:style w:type="paragraph" w:styleId="Heading3">
    <w:name w:val="heading 3"/>
    <w:basedOn w:val="Normal"/>
    <w:next w:val="Normal"/>
    <w:link w:val="Heading3Char"/>
    <w:uiPriority w:val="9"/>
    <w:unhideWhenUsed/>
    <w:qFormat/>
    <w:rsid w:val="00B308B5"/>
    <w:pPr>
      <w:keepNext/>
      <w:keepLines/>
      <w:spacing w:before="160" w:after="80"/>
      <w:jc w:val="left"/>
      <w:outlineLvl w:val="2"/>
    </w:pPr>
    <w:rPr>
      <w:b/>
      <w:i/>
    </w:rPr>
  </w:style>
  <w:style w:type="paragraph" w:styleId="Heading4">
    <w:name w:val="heading 4"/>
    <w:basedOn w:val="Normal"/>
    <w:next w:val="Normal"/>
    <w:link w:val="Heading4Char"/>
    <w:uiPriority w:val="9"/>
    <w:semiHidden/>
    <w:unhideWhenUsed/>
    <w:qFormat/>
    <w:rsid w:val="00B308B5"/>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308B5"/>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308B5"/>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308B5"/>
    <w:pPr>
      <w:keepNext/>
      <w:keepLines/>
      <w:spacing w:before="40" w:after="0" w:line="278" w:lineRule="auto"/>
      <w:jc w:val="left"/>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308B5"/>
    <w:pPr>
      <w:keepNext/>
      <w:keepLines/>
      <w:spacing w:after="0" w:line="278" w:lineRule="auto"/>
      <w:jc w:val="left"/>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308B5"/>
    <w:pPr>
      <w:keepNext/>
      <w:keepLines/>
      <w:spacing w:after="0" w:line="278" w:lineRule="auto"/>
      <w:jc w:val="left"/>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0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0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8B5"/>
    <w:rPr>
      <w:rFonts w:eastAsiaTheme="majorEastAsia" w:cstheme="majorBidi"/>
      <w:color w:val="272727" w:themeColor="text1" w:themeTint="D8"/>
    </w:rPr>
  </w:style>
  <w:style w:type="paragraph" w:styleId="Title">
    <w:name w:val="Title"/>
    <w:basedOn w:val="Normal"/>
    <w:next w:val="Normal"/>
    <w:link w:val="TitleChar"/>
    <w:uiPriority w:val="10"/>
    <w:qFormat/>
    <w:rsid w:val="00B308B5"/>
    <w:pPr>
      <w:spacing w:after="80" w:line="240" w:lineRule="auto"/>
      <w:contextualSpacing/>
      <w:jc w:val="left"/>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B30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8B5"/>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30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8B5"/>
    <w:pPr>
      <w:spacing w:before="160" w:after="160" w:line="278" w:lineRule="auto"/>
      <w:jc w:val="center"/>
    </w:pPr>
    <w:rPr>
      <w:rFonts w:asciiTheme="minorHAnsi" w:eastAsiaTheme="minorHAnsi" w:hAnsi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B308B5"/>
    <w:rPr>
      <w:i/>
      <w:iCs/>
      <w:color w:val="404040" w:themeColor="text1" w:themeTint="BF"/>
    </w:rPr>
  </w:style>
  <w:style w:type="paragraph" w:styleId="ListParagraph">
    <w:name w:val="List Paragraph"/>
    <w:basedOn w:val="Normal"/>
    <w:uiPriority w:val="34"/>
    <w:qFormat/>
    <w:rsid w:val="00B308B5"/>
    <w:pPr>
      <w:spacing w:after="160" w:line="278" w:lineRule="auto"/>
      <w:ind w:left="720"/>
      <w:contextualSpacing/>
      <w:jc w:val="left"/>
    </w:pPr>
    <w:rPr>
      <w:rFonts w:asciiTheme="minorHAnsi" w:eastAsiaTheme="minorHAnsi" w:hAnsiTheme="minorHAnsi"/>
      <w:color w:val="auto"/>
      <w:kern w:val="2"/>
      <w14:ligatures w14:val="standardContextual"/>
    </w:rPr>
  </w:style>
  <w:style w:type="character" w:styleId="IntenseEmphasis">
    <w:name w:val="Intense Emphasis"/>
    <w:basedOn w:val="DefaultParagraphFont"/>
    <w:uiPriority w:val="21"/>
    <w:qFormat/>
    <w:rsid w:val="00B308B5"/>
    <w:rPr>
      <w:i/>
      <w:iCs/>
      <w:color w:val="0F4761" w:themeColor="accent1" w:themeShade="BF"/>
    </w:rPr>
  </w:style>
  <w:style w:type="paragraph" w:styleId="IntenseQuote">
    <w:name w:val="Intense Quote"/>
    <w:basedOn w:val="Normal"/>
    <w:next w:val="Normal"/>
    <w:link w:val="IntenseQuoteChar"/>
    <w:uiPriority w:val="30"/>
    <w:qFormat/>
    <w:rsid w:val="00B308B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B308B5"/>
    <w:rPr>
      <w:i/>
      <w:iCs/>
      <w:color w:val="0F4761" w:themeColor="accent1" w:themeShade="BF"/>
    </w:rPr>
  </w:style>
  <w:style w:type="character" w:styleId="IntenseReference">
    <w:name w:val="Intense Reference"/>
    <w:basedOn w:val="DefaultParagraphFont"/>
    <w:uiPriority w:val="32"/>
    <w:qFormat/>
    <w:rsid w:val="00B308B5"/>
    <w:rPr>
      <w:b/>
      <w:bCs/>
      <w:smallCaps/>
      <w:color w:val="0F4761" w:themeColor="accent1" w:themeShade="BF"/>
      <w:spacing w:val="5"/>
    </w:rPr>
  </w:style>
  <w:style w:type="paragraph" w:styleId="Header">
    <w:name w:val="header"/>
    <w:basedOn w:val="Normal"/>
    <w:link w:val="HeaderChar"/>
    <w:uiPriority w:val="99"/>
    <w:unhideWhenUsed/>
    <w:rsid w:val="00B308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08B5"/>
    <w:rPr>
      <w:rFonts w:ascii="Arial" w:eastAsiaTheme="minorEastAsia" w:hAnsi="Arial"/>
      <w:color w:val="000000"/>
      <w:kern w:val="0"/>
      <w:szCs w:val="22"/>
      <w:lang w:val="en-US"/>
      <w14:ligatures w14:val="none"/>
    </w:rPr>
  </w:style>
  <w:style w:type="paragraph" w:styleId="BodyText">
    <w:name w:val="Body Text"/>
    <w:basedOn w:val="Normal"/>
    <w:link w:val="BodyTextChar"/>
    <w:uiPriority w:val="99"/>
    <w:unhideWhenUsed/>
    <w:rsid w:val="00B308B5"/>
  </w:style>
  <w:style w:type="character" w:customStyle="1" w:styleId="BodyTextChar">
    <w:name w:val="Body Text Char"/>
    <w:basedOn w:val="DefaultParagraphFont"/>
    <w:link w:val="BodyText"/>
    <w:uiPriority w:val="99"/>
    <w:rsid w:val="00B308B5"/>
    <w:rPr>
      <w:rFonts w:ascii="Arial" w:eastAsiaTheme="minorEastAsia" w:hAnsi="Arial"/>
      <w:color w:val="000000"/>
      <w:kern w:val="0"/>
      <w:szCs w:val="22"/>
      <w:lang w:val="en-US"/>
      <w14:ligatures w14:val="none"/>
    </w:rPr>
  </w:style>
  <w:style w:type="character" w:styleId="Hyperlink">
    <w:name w:val="Hyperlink"/>
    <w:basedOn w:val="DefaultParagraphFont"/>
    <w:uiPriority w:val="99"/>
    <w:unhideWhenUsed/>
    <w:rsid w:val="008C0A43"/>
    <w:rPr>
      <w:color w:val="467886" w:themeColor="hyperlink"/>
      <w:u w:val="single"/>
    </w:rPr>
  </w:style>
  <w:style w:type="character" w:styleId="UnresolvedMention">
    <w:name w:val="Unresolved Mention"/>
    <w:basedOn w:val="DefaultParagraphFont"/>
    <w:uiPriority w:val="99"/>
    <w:semiHidden/>
    <w:unhideWhenUsed/>
    <w:rsid w:val="008C0A43"/>
    <w:rPr>
      <w:color w:val="605E5C"/>
      <w:shd w:val="clear" w:color="auto" w:fill="E1DFDD"/>
    </w:rPr>
  </w:style>
  <w:style w:type="paragraph" w:styleId="Footer">
    <w:name w:val="footer"/>
    <w:basedOn w:val="Normal"/>
    <w:link w:val="FooterChar"/>
    <w:uiPriority w:val="99"/>
    <w:semiHidden/>
    <w:unhideWhenUsed/>
    <w:rsid w:val="0089656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96568"/>
    <w:rPr>
      <w:rFonts w:ascii="Arial" w:eastAsiaTheme="minorEastAsia" w:hAnsi="Arial"/>
      <w:color w:val="000000"/>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0B1D185C3BCA34FB431731DD1B17617" ma:contentTypeVersion="15" ma:contentTypeDescription="Create a new document." ma:contentTypeScope="" ma:versionID="d67d9bbedd9457f422b2f72ad9515006">
  <xsd:schema xmlns:xsd="http://www.w3.org/2001/XMLSchema" xmlns:xs="http://www.w3.org/2001/XMLSchema" xmlns:p="http://schemas.microsoft.com/office/2006/metadata/properties" xmlns:ns3="860d378f-c0e8-4853-aa0d-3874a86c4c61" xmlns:ns4="353d7884-3ca8-44b2-a6fd-d35e47cac66a" targetNamespace="http://schemas.microsoft.com/office/2006/metadata/properties" ma:root="true" ma:fieldsID="b439d3be59f2954a7e5d20a52d658bb6" ns3:_="" ns4:_="">
    <xsd:import namespace="860d378f-c0e8-4853-aa0d-3874a86c4c61"/>
    <xsd:import namespace="353d7884-3ca8-44b2-a6fd-d35e47cac66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DateTaken"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0d378f-c0e8-4853-aa0d-3874a86c4c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3d7884-3ca8-44b2-a6fd-d35e47cac66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60d378f-c0e8-4853-aa0d-3874a86c4c61" xsi:nil="true"/>
  </documentManagement>
</p:properties>
</file>

<file path=customXml/itemProps1.xml><?xml version="1.0" encoding="utf-8"?>
<ds:datastoreItem xmlns:ds="http://schemas.openxmlformats.org/officeDocument/2006/customXml" ds:itemID="{DB5E1079-0E1A-4172-AC45-8664AF66CB4D}">
  <ds:schemaRefs>
    <ds:schemaRef ds:uri="http://schemas.microsoft.com/sharepoint/v3/contenttype/forms"/>
  </ds:schemaRefs>
</ds:datastoreItem>
</file>

<file path=customXml/itemProps2.xml><?xml version="1.0" encoding="utf-8"?>
<ds:datastoreItem xmlns:ds="http://schemas.openxmlformats.org/officeDocument/2006/customXml" ds:itemID="{17F8A75F-4D7B-4212-A9F5-E638F7BC63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0d378f-c0e8-4853-aa0d-3874a86c4c61"/>
    <ds:schemaRef ds:uri="353d7884-3ca8-44b2-a6fd-d35e47cac6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76CBD3-3E45-418E-A261-CC32DBB2342A}">
  <ds:schemaRefs>
    <ds:schemaRef ds:uri="http://schemas.microsoft.com/office/2006/metadata/properties"/>
    <ds:schemaRef ds:uri="http://schemas.microsoft.com/office/infopath/2007/PartnerControls"/>
    <ds:schemaRef ds:uri="860d378f-c0e8-4853-aa0d-3874a86c4c6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1011</Words>
  <Characters>6321</Characters>
  <Application>Microsoft Office Word</Application>
  <DocSecurity>0</DocSecurity>
  <Lines>113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Zohaib Shahzada (student)</dc:creator>
  <cp:keywords/>
  <dc:description/>
  <cp:lastModifiedBy>Zohaib Shahzada (student)</cp:lastModifiedBy>
  <cp:revision>3</cp:revision>
  <dcterms:created xsi:type="dcterms:W3CDTF">2026-03-06T03:16:00Z</dcterms:created>
  <dcterms:modified xsi:type="dcterms:W3CDTF">2026-03-06T03:16:00Z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0x010100A0B1D185C3BCA34FB431731DD1B17617</vt:lpwstr>
  </property>
</Properties>
</file>