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3C0F8" w14:textId="77777777" w:rsidR="00361C46" w:rsidRDefault="00361C46">
      <w:pPr>
        <w:spacing w:after="0" w:line="360" w:lineRule="auto"/>
      </w:pPr>
    </w:p>
    <w:p w14:paraId="029EAD4F" w14:textId="77777777" w:rsidR="00361C46" w:rsidRDefault="00361C46">
      <w:pPr>
        <w:spacing w:after="0" w:line="360" w:lineRule="auto"/>
      </w:pPr>
    </w:p>
    <w:p w14:paraId="1C6B608E" w14:textId="77777777" w:rsidR="00361C46" w:rsidRDefault="00361C46">
      <w:pPr>
        <w:spacing w:after="0" w:line="360" w:lineRule="auto"/>
      </w:pPr>
    </w:p>
    <w:p w14:paraId="5E63EB8C" w14:textId="77777777" w:rsidR="00361C46" w:rsidRDefault="00361C46">
      <w:pPr>
        <w:spacing w:after="0" w:line="360" w:lineRule="auto"/>
      </w:pPr>
    </w:p>
    <w:p w14:paraId="3A504109" w14:textId="77777777" w:rsidR="00361C46" w:rsidRDefault="00361C46">
      <w:pPr>
        <w:spacing w:after="0" w:line="360" w:lineRule="auto"/>
      </w:pPr>
    </w:p>
    <w:p w14:paraId="33DBD4AE" w14:textId="77777777" w:rsidR="00361C46" w:rsidRDefault="00361C46">
      <w:pPr>
        <w:spacing w:after="0" w:line="360" w:lineRule="auto"/>
      </w:pPr>
    </w:p>
    <w:p w14:paraId="137AEBF5" w14:textId="77777777" w:rsidR="00361C46" w:rsidRDefault="00361C46">
      <w:pPr>
        <w:spacing w:after="0" w:line="360" w:lineRule="auto"/>
      </w:pPr>
    </w:p>
    <w:p w14:paraId="6DBADA30" w14:textId="77777777" w:rsidR="00361C46" w:rsidRDefault="00000000">
      <w:pPr>
        <w:spacing w:after="120" w:line="360" w:lineRule="auto"/>
        <w:jc w:val="center"/>
      </w:pPr>
      <w:r>
        <w:rPr>
          <w:rFonts w:ascii="Arial" w:hAnsi="Arial"/>
          <w:sz w:val="24"/>
        </w:rPr>
        <w:t>University of Brighton</w:t>
      </w:r>
    </w:p>
    <w:p w14:paraId="34514884" w14:textId="2568BCEB" w:rsidR="00361C46" w:rsidRDefault="00000000">
      <w:pPr>
        <w:spacing w:after="120" w:line="360" w:lineRule="auto"/>
        <w:jc w:val="center"/>
      </w:pPr>
      <w:r>
        <w:rPr>
          <w:rFonts w:ascii="Arial" w:hAnsi="Arial"/>
          <w:b/>
          <w:sz w:val="28"/>
        </w:rPr>
        <w:t xml:space="preserve">FA565 </w:t>
      </w:r>
      <w:r w:rsidR="00BB4D7E">
        <w:rPr>
          <w:rFonts w:ascii="Arial" w:hAnsi="Arial"/>
          <w:b/>
          <w:sz w:val="28"/>
        </w:rPr>
        <w:t>|</w:t>
      </w:r>
      <w:r>
        <w:rPr>
          <w:rFonts w:ascii="Arial" w:hAnsi="Arial"/>
          <w:b/>
          <w:sz w:val="28"/>
        </w:rPr>
        <w:t xml:space="preserve"> Business Ethics and Corporate Governance</w:t>
      </w:r>
    </w:p>
    <w:p w14:paraId="2D57CB24" w14:textId="279D73E6" w:rsidR="00361C46" w:rsidRDefault="00000000">
      <w:pPr>
        <w:spacing w:after="120" w:line="360" w:lineRule="auto"/>
        <w:jc w:val="center"/>
      </w:pPr>
      <w:r>
        <w:rPr>
          <w:rFonts w:ascii="Arial" w:hAnsi="Arial"/>
          <w:sz w:val="24"/>
        </w:rPr>
        <w:t xml:space="preserve">Assessment 1 </w:t>
      </w:r>
      <w:r w:rsidR="00BB4D7E">
        <w:rPr>
          <w:rFonts w:ascii="Arial" w:hAnsi="Arial"/>
          <w:sz w:val="24"/>
        </w:rPr>
        <w:t>|</w:t>
      </w:r>
      <w:r>
        <w:rPr>
          <w:rFonts w:ascii="Arial" w:hAnsi="Arial"/>
          <w:sz w:val="24"/>
        </w:rPr>
        <w:t xml:space="preserve"> Task C</w:t>
      </w:r>
    </w:p>
    <w:p w14:paraId="1C190018" w14:textId="77777777" w:rsidR="00361C46" w:rsidRDefault="00000000">
      <w:pPr>
        <w:spacing w:after="120" w:line="360" w:lineRule="auto"/>
        <w:jc w:val="center"/>
      </w:pPr>
      <w:r>
        <w:rPr>
          <w:rFonts w:ascii="Arial" w:hAnsi="Arial"/>
          <w:sz w:val="24"/>
        </w:rPr>
        <w:t>April 2026</w:t>
      </w:r>
    </w:p>
    <w:p w14:paraId="06254E4C" w14:textId="77777777" w:rsidR="00361C46" w:rsidRDefault="00000000">
      <w:pPr>
        <w:spacing w:after="0" w:line="360" w:lineRule="auto"/>
        <w:jc w:val="center"/>
      </w:pPr>
      <w:r>
        <w:rPr>
          <w:rFonts w:ascii="Arial" w:hAnsi="Arial"/>
          <w:sz w:val="24"/>
        </w:rPr>
        <w:t>Student ID: 21801886</w:t>
      </w:r>
    </w:p>
    <w:p w14:paraId="60396837" w14:textId="77777777" w:rsidR="00361C46" w:rsidRDefault="00000000">
      <w:r>
        <w:br w:type="page"/>
      </w:r>
    </w:p>
    <w:p w14:paraId="155FDF13" w14:textId="77777777" w:rsidR="00361C46" w:rsidRDefault="00000000">
      <w:pPr>
        <w:spacing w:after="120" w:line="360" w:lineRule="auto"/>
      </w:pPr>
      <w:r>
        <w:rPr>
          <w:rFonts w:ascii="Arial" w:hAnsi="Arial"/>
          <w:b/>
          <w:sz w:val="24"/>
        </w:rPr>
        <w:lastRenderedPageBreak/>
        <w:t>Requirement 1: Stakeholder costs and benefits</w:t>
      </w:r>
    </w:p>
    <w:p w14:paraId="19FD8E42" w14:textId="77777777" w:rsidR="00361C46" w:rsidRDefault="00000000">
      <w:pPr>
        <w:pStyle w:val="ListBullet"/>
        <w:spacing w:after="80" w:line="360" w:lineRule="auto"/>
        <w:ind w:left="567"/>
      </w:pPr>
      <w:r>
        <w:rPr>
          <w:rFonts w:ascii="Arial" w:hAnsi="Arial"/>
          <w:b/>
          <w:sz w:val="24"/>
        </w:rPr>
        <w:t xml:space="preserve">UK employees (~600): </w:t>
      </w:r>
      <w:r>
        <w:rPr>
          <w:rFonts w:ascii="Arial" w:hAnsi="Arial"/>
          <w:sz w:val="24"/>
        </w:rPr>
        <w:t>Redundancy, income loss, and career disruption. Greenleaf offers enhanced severance, retraining, and priority rehiring, but the harm is immediate.</w:t>
      </w:r>
    </w:p>
    <w:p w14:paraId="2F472FDA" w14:textId="0B615B23" w:rsidR="00361C46" w:rsidRDefault="00000000">
      <w:pPr>
        <w:pStyle w:val="ListBullet"/>
        <w:spacing w:after="80" w:line="360" w:lineRule="auto"/>
        <w:ind w:left="567"/>
      </w:pPr>
      <w:r>
        <w:rPr>
          <w:rFonts w:ascii="Arial" w:hAnsi="Arial"/>
          <w:b/>
          <w:sz w:val="24"/>
        </w:rPr>
        <w:t xml:space="preserve">Overseas employees (~450): </w:t>
      </w:r>
      <w:r>
        <w:rPr>
          <w:rFonts w:ascii="Arial" w:hAnsi="Arial"/>
          <w:sz w:val="24"/>
        </w:rPr>
        <w:t>Job losses in markets with fewer safety nets. Enhanced severance is offered, though its real value</w:t>
      </w:r>
      <w:r w:rsidR="00BB4D7E">
        <w:rPr>
          <w:rFonts w:ascii="Arial" w:hAnsi="Arial"/>
          <w:sz w:val="24"/>
        </w:rPr>
        <w:t xml:space="preserve"> is (most likely)</w:t>
      </w:r>
      <w:r>
        <w:rPr>
          <w:rFonts w:ascii="Arial" w:hAnsi="Arial"/>
          <w:sz w:val="24"/>
        </w:rPr>
        <w:t xml:space="preserve"> significantly </w:t>
      </w:r>
      <w:r w:rsidR="00BB4D7E">
        <w:rPr>
          <w:rFonts w:ascii="Arial" w:hAnsi="Arial"/>
          <w:sz w:val="24"/>
        </w:rPr>
        <w:t>different from</w:t>
      </w:r>
      <w:r>
        <w:rPr>
          <w:rFonts w:ascii="Arial" w:hAnsi="Arial"/>
          <w:sz w:val="24"/>
        </w:rPr>
        <w:t xml:space="preserve"> country</w:t>
      </w:r>
      <w:r w:rsidR="00BB4D7E">
        <w:rPr>
          <w:rFonts w:ascii="Arial" w:hAnsi="Arial"/>
          <w:sz w:val="24"/>
        </w:rPr>
        <w:t xml:space="preserve"> to country</w:t>
      </w:r>
      <w:r>
        <w:rPr>
          <w:rFonts w:ascii="Arial" w:hAnsi="Arial"/>
          <w:sz w:val="24"/>
        </w:rPr>
        <w:t>.</w:t>
      </w:r>
    </w:p>
    <w:p w14:paraId="590388AC" w14:textId="3DD78B26" w:rsidR="00361C46" w:rsidRDefault="00000000">
      <w:pPr>
        <w:pStyle w:val="ListBullet"/>
        <w:spacing w:after="80" w:line="360" w:lineRule="auto"/>
        <w:ind w:left="567"/>
      </w:pPr>
      <w:r>
        <w:rPr>
          <w:rFonts w:ascii="Arial" w:hAnsi="Arial"/>
          <w:b/>
          <w:sz w:val="24"/>
        </w:rPr>
        <w:t xml:space="preserve">Smallholder farmers (Indonesia, Brazil, Nigeria): </w:t>
      </w:r>
      <w:r>
        <w:rPr>
          <w:rFonts w:ascii="Arial" w:hAnsi="Arial"/>
          <w:sz w:val="24"/>
        </w:rPr>
        <w:t>Loss of fair-trade income across several thousand farming families. If the withdrawal pressures governments into stronger environmental standards, agricultural communities could eventually benefit</w:t>
      </w:r>
      <w:r w:rsidR="00BB4D7E">
        <w:rPr>
          <w:rFonts w:ascii="Arial" w:hAnsi="Arial"/>
          <w:sz w:val="24"/>
        </w:rPr>
        <w:t>;</w:t>
      </w:r>
      <w:r>
        <w:rPr>
          <w:rFonts w:ascii="Arial" w:hAnsi="Arial"/>
          <w:sz w:val="24"/>
        </w:rPr>
        <w:t xml:space="preserve"> but that </w:t>
      </w:r>
      <w:r w:rsidR="00BB4D7E">
        <w:rPr>
          <w:rFonts w:ascii="Arial" w:hAnsi="Arial"/>
          <w:sz w:val="24"/>
        </w:rPr>
        <w:t xml:space="preserve">is a speculative and long-term </w:t>
      </w:r>
      <w:r>
        <w:rPr>
          <w:rFonts w:ascii="Arial" w:hAnsi="Arial"/>
          <w:sz w:val="24"/>
        </w:rPr>
        <w:t>outcome</w:t>
      </w:r>
      <w:r w:rsidR="00BB4D7E">
        <w:rPr>
          <w:rFonts w:ascii="Arial" w:hAnsi="Arial"/>
          <w:sz w:val="24"/>
        </w:rPr>
        <w:t>.</w:t>
      </w:r>
    </w:p>
    <w:p w14:paraId="779F1D73" w14:textId="77777777" w:rsidR="00361C46" w:rsidRDefault="00000000">
      <w:pPr>
        <w:pStyle w:val="ListBullet"/>
        <w:spacing w:after="80" w:line="360" w:lineRule="auto"/>
        <w:ind w:left="567"/>
      </w:pPr>
      <w:r>
        <w:rPr>
          <w:rFonts w:ascii="Arial" w:hAnsi="Arial"/>
          <w:b/>
          <w:sz w:val="24"/>
        </w:rPr>
        <w:t xml:space="preserve">Shareholders and investors: </w:t>
      </w:r>
      <w:r>
        <w:rPr>
          <w:rFonts w:ascii="Arial" w:hAnsi="Arial"/>
          <w:sz w:val="24"/>
        </w:rPr>
        <w:t>Short-term return pressure; institutional shareholders have raised concerns publicly. The rationalisation of underperforming stores, the loyalty of 61% of customers, and the backing of the 34% Okonkwo Family Trust make a plausible long-term case.</w:t>
      </w:r>
    </w:p>
    <w:p w14:paraId="2E39C55B" w14:textId="63E4B579" w:rsidR="00361C46" w:rsidRDefault="00000000">
      <w:pPr>
        <w:pStyle w:val="ListBullet"/>
        <w:spacing w:after="80" w:line="360" w:lineRule="auto"/>
        <w:ind w:left="567"/>
      </w:pPr>
      <w:r>
        <w:rPr>
          <w:rFonts w:ascii="Arial" w:hAnsi="Arial"/>
          <w:b/>
          <w:sz w:val="24"/>
        </w:rPr>
        <w:t xml:space="preserve">Customers: </w:t>
      </w:r>
      <w:r>
        <w:rPr>
          <w:rFonts w:ascii="Arial" w:hAnsi="Arial"/>
          <w:sz w:val="24"/>
        </w:rPr>
        <w:t xml:space="preserve">38 physical stores close and 35% of respondents opposed the decision. More </w:t>
      </w:r>
      <w:r w:rsidR="00BB4D7E">
        <w:rPr>
          <w:rFonts w:ascii="Arial" w:hAnsi="Arial"/>
          <w:sz w:val="24"/>
        </w:rPr>
        <w:t>customers (</w:t>
      </w:r>
      <w:r>
        <w:rPr>
          <w:rFonts w:ascii="Arial" w:hAnsi="Arial"/>
          <w:sz w:val="24"/>
        </w:rPr>
        <w:t>61%</w:t>
      </w:r>
      <w:r w:rsidR="00BB4D7E">
        <w:rPr>
          <w:rFonts w:ascii="Arial" w:hAnsi="Arial"/>
          <w:sz w:val="24"/>
        </w:rPr>
        <w:t xml:space="preserve">) </w:t>
      </w:r>
      <w:r>
        <w:rPr>
          <w:rFonts w:ascii="Arial" w:hAnsi="Arial"/>
          <w:sz w:val="24"/>
        </w:rPr>
        <w:t>say they will remain loyal, and an expanded online offer provides partial compensation.</w:t>
      </w:r>
    </w:p>
    <w:p w14:paraId="79550235" w14:textId="77777777" w:rsidR="00361C46" w:rsidRDefault="00000000">
      <w:pPr>
        <w:pStyle w:val="ListBullet"/>
        <w:spacing w:after="80" w:line="360" w:lineRule="auto"/>
        <w:ind w:left="567"/>
      </w:pPr>
      <w:r>
        <w:rPr>
          <w:rFonts w:ascii="Arial" w:hAnsi="Arial"/>
          <w:b/>
          <w:sz w:val="24"/>
        </w:rPr>
        <w:t xml:space="preserve">Environmental NGOs: </w:t>
      </w:r>
      <w:r>
        <w:rPr>
          <w:rFonts w:ascii="Arial" w:hAnsi="Arial"/>
          <w:sz w:val="24"/>
        </w:rPr>
        <w:t>No direct costs. They gain a significant precedent and a potential model for ‘regulatory accountability clauses’ across multinationals.</w:t>
      </w:r>
    </w:p>
    <w:p w14:paraId="4D429667" w14:textId="3AF6EA76" w:rsidR="00361C46" w:rsidRDefault="00000000">
      <w:pPr>
        <w:pStyle w:val="ListBullet"/>
        <w:spacing w:after="80" w:line="360" w:lineRule="auto"/>
        <w:ind w:left="567"/>
      </w:pPr>
      <w:r>
        <w:rPr>
          <w:rFonts w:ascii="Arial" w:hAnsi="Arial"/>
          <w:b/>
          <w:sz w:val="24"/>
        </w:rPr>
        <w:t xml:space="preserve">Trade unions (RDAWU): </w:t>
      </w:r>
      <w:r>
        <w:rPr>
          <w:rFonts w:ascii="Arial" w:hAnsi="Arial"/>
          <w:sz w:val="24"/>
        </w:rPr>
        <w:t xml:space="preserve">Members lose jobs. The union has called the decision ‘irresponsible and self-indulgent’ but has limited </w:t>
      </w:r>
      <w:r w:rsidR="00BB4D7E">
        <w:rPr>
          <w:rFonts w:ascii="Arial" w:hAnsi="Arial"/>
          <w:sz w:val="24"/>
        </w:rPr>
        <w:t>powers</w:t>
      </w:r>
      <w:r>
        <w:rPr>
          <w:rFonts w:ascii="Arial" w:hAnsi="Arial"/>
          <w:sz w:val="24"/>
        </w:rPr>
        <w:t xml:space="preserve"> to prevent it.</w:t>
      </w:r>
    </w:p>
    <w:p w14:paraId="0E90BDAB" w14:textId="605F57ED" w:rsidR="00361C46" w:rsidRDefault="00000000">
      <w:pPr>
        <w:pStyle w:val="ListBullet"/>
        <w:spacing w:after="80" w:line="360" w:lineRule="auto"/>
        <w:ind w:left="567"/>
      </w:pPr>
      <w:r>
        <w:rPr>
          <w:rFonts w:ascii="Arial" w:hAnsi="Arial"/>
          <w:b/>
          <w:sz w:val="24"/>
        </w:rPr>
        <w:t xml:space="preserve">UK government: </w:t>
      </w:r>
      <w:r>
        <w:rPr>
          <w:rFonts w:ascii="Arial" w:hAnsi="Arial"/>
          <w:sz w:val="24"/>
        </w:rPr>
        <w:t xml:space="preserve">No direct cost, but faces </w:t>
      </w:r>
      <w:r w:rsidR="00BB4D7E">
        <w:rPr>
          <w:rFonts w:ascii="Arial" w:hAnsi="Arial"/>
          <w:sz w:val="24"/>
        </w:rPr>
        <w:t>severe</w:t>
      </w:r>
      <w:r>
        <w:rPr>
          <w:rFonts w:ascii="Arial" w:hAnsi="Arial"/>
          <w:sz w:val="24"/>
        </w:rPr>
        <w:t xml:space="preserve"> criticism of its environmental policy record.</w:t>
      </w:r>
    </w:p>
    <w:p w14:paraId="61C91133" w14:textId="77777777" w:rsidR="00361C46" w:rsidRDefault="00000000">
      <w:pPr>
        <w:pStyle w:val="ListBullet"/>
        <w:spacing w:after="80" w:line="360" w:lineRule="auto"/>
        <w:ind w:left="567"/>
      </w:pPr>
      <w:r>
        <w:rPr>
          <w:rFonts w:ascii="Arial" w:hAnsi="Arial"/>
          <w:b/>
          <w:sz w:val="24"/>
        </w:rPr>
        <w:t xml:space="preserve">Overseas governments: </w:t>
      </w:r>
      <w:r>
        <w:rPr>
          <w:rFonts w:ascii="Arial" w:hAnsi="Arial"/>
          <w:sz w:val="24"/>
        </w:rPr>
        <w:t>Lose an international business partner; may face incentive to raise environmental standards if corporate exits increase.</w:t>
      </w:r>
    </w:p>
    <w:p w14:paraId="79A5C7B0" w14:textId="77777777" w:rsidR="00361C46" w:rsidRDefault="00361C46">
      <w:pPr>
        <w:spacing w:after="0" w:line="360" w:lineRule="auto"/>
      </w:pPr>
    </w:p>
    <w:p w14:paraId="67EA95EF" w14:textId="5463372D" w:rsidR="00361C46" w:rsidRDefault="00000000">
      <w:pPr>
        <w:spacing w:line="360" w:lineRule="auto"/>
      </w:pPr>
      <w:r>
        <w:rPr>
          <w:rFonts w:ascii="Arial" w:hAnsi="Arial"/>
          <w:sz w:val="24"/>
        </w:rPr>
        <w:t>Freeman, Wicks and Parmar (2004) hold that all stakeholders deserve consideration, but Mitchell, Agle and Wood’s (1997) salience model weights claims by power, legitimacy, and urgency</w:t>
      </w:r>
      <w:r w:rsidR="00BB4D7E">
        <w:rPr>
          <w:rFonts w:ascii="Arial" w:hAnsi="Arial"/>
          <w:sz w:val="24"/>
        </w:rPr>
        <w:t>;</w:t>
      </w:r>
      <w:r>
        <w:rPr>
          <w:rFonts w:ascii="Arial" w:hAnsi="Arial"/>
          <w:sz w:val="24"/>
        </w:rPr>
        <w:t xml:space="preserve"> and on those measures employees and smallholder farmers come first. They face immediate, concrete harm with the least capacity to absorb it. </w:t>
      </w:r>
      <w:r>
        <w:rPr>
          <w:rFonts w:ascii="Arial" w:hAnsi="Arial"/>
          <w:sz w:val="24"/>
        </w:rPr>
        <w:lastRenderedPageBreak/>
        <w:t xml:space="preserve">Frooman (1999) shows that NGOs can build pressure through coalitions without bearing personal costs, </w:t>
      </w:r>
      <w:r w:rsidR="00BB4D7E">
        <w:rPr>
          <w:rFonts w:ascii="Arial" w:hAnsi="Arial"/>
          <w:sz w:val="24"/>
        </w:rPr>
        <w:t xml:space="preserve">further </w:t>
      </w:r>
      <w:r>
        <w:rPr>
          <w:rFonts w:ascii="Arial" w:hAnsi="Arial"/>
          <w:sz w:val="24"/>
        </w:rPr>
        <w:t>deepening th</w:t>
      </w:r>
      <w:r w:rsidR="00BB4D7E">
        <w:rPr>
          <w:rFonts w:ascii="Arial" w:hAnsi="Arial"/>
          <w:sz w:val="24"/>
        </w:rPr>
        <w:t>at</w:t>
      </w:r>
      <w:r>
        <w:rPr>
          <w:rFonts w:ascii="Arial" w:hAnsi="Arial"/>
          <w:sz w:val="24"/>
        </w:rPr>
        <w:t xml:space="preserve"> asymmetry. Hillman and Keim (2001) found that protecting primary stakeholders generates stronger long-term returns than </w:t>
      </w:r>
      <w:r w:rsidR="00BB4D7E">
        <w:rPr>
          <w:rFonts w:ascii="Arial" w:hAnsi="Arial"/>
          <w:sz w:val="24"/>
        </w:rPr>
        <w:t>general broad</w:t>
      </w:r>
      <w:r>
        <w:rPr>
          <w:rFonts w:ascii="Arial" w:hAnsi="Arial"/>
          <w:sz w:val="24"/>
        </w:rPr>
        <w:t xml:space="preserve"> social campaigning, which points directly at the tension in Greenleaf’s approach.</w:t>
      </w:r>
    </w:p>
    <w:p w14:paraId="2D86DA5A" w14:textId="77777777" w:rsidR="00361C46" w:rsidRDefault="00000000">
      <w:pPr>
        <w:spacing w:after="120" w:line="360" w:lineRule="auto"/>
      </w:pPr>
      <w:r>
        <w:rPr>
          <w:rFonts w:ascii="Arial" w:hAnsi="Arial"/>
          <w:b/>
          <w:sz w:val="24"/>
        </w:rPr>
        <w:t>Requirement 2: Moral responsibility</w:t>
      </w:r>
    </w:p>
    <w:p w14:paraId="29737115" w14:textId="77777777" w:rsidR="00361C46" w:rsidRDefault="00000000">
      <w:pPr>
        <w:spacing w:after="120" w:line="360" w:lineRule="auto"/>
      </w:pPr>
      <w:r>
        <w:rPr>
          <w:rFonts w:ascii="Arial" w:hAnsi="Arial"/>
          <w:sz w:val="24"/>
        </w:rPr>
        <w:t>Greenleaf has a genuine moral responsibility to act, but it is harder to sustain than Rachel Okonkwo’s statement suggests. The strongest case is a virtue ethics one. A company that has built its identity around environmental commitment cannot credibly claim neutrality once it acknowledges that continued operation feels like ‘complicity.’ Aristotelian virtue ethics demands consistency of character (MacIntyre, 1981), and staying put while naming the problem would be incoherent.</w:t>
      </w:r>
    </w:p>
    <w:p w14:paraId="4CC609EB" w14:textId="585375AF" w:rsidR="00361C46" w:rsidRPr="00152CAA" w:rsidRDefault="00000000">
      <w:pPr>
        <w:spacing w:after="120" w:line="360" w:lineRule="auto"/>
        <w:rPr>
          <w:rFonts w:ascii="Arial" w:hAnsi="Arial"/>
          <w:sz w:val="24"/>
        </w:rPr>
      </w:pPr>
      <w:r>
        <w:rPr>
          <w:rFonts w:ascii="Arial" w:hAnsi="Arial"/>
          <w:sz w:val="24"/>
        </w:rPr>
        <w:t xml:space="preserve">Harman (1999) challenges this: situational pressures account for conduct more reliably than stable dispositions. Dr Mehta’s reading </w:t>
      </w:r>
      <w:r w:rsidR="00152CAA">
        <w:rPr>
          <w:rFonts w:ascii="Arial" w:hAnsi="Arial"/>
          <w:sz w:val="24"/>
        </w:rPr>
        <w:t xml:space="preserve">- </w:t>
      </w:r>
      <w:r>
        <w:rPr>
          <w:rFonts w:ascii="Arial" w:hAnsi="Arial"/>
          <w:sz w:val="24"/>
        </w:rPr>
        <w:t xml:space="preserve">that Greenleaf is closing underperforming stores for commercial reasons while ‘finding a more compelling narrative’ </w:t>
      </w:r>
      <w:r w:rsidR="00152CAA">
        <w:rPr>
          <w:rFonts w:ascii="Arial" w:hAnsi="Arial"/>
          <w:sz w:val="24"/>
        </w:rPr>
        <w:t>-</w:t>
      </w:r>
      <w:r>
        <w:rPr>
          <w:rFonts w:ascii="Arial" w:hAnsi="Arial"/>
          <w:sz w:val="24"/>
        </w:rPr>
        <w:t xml:space="preserve"> is the situational account. Delmas and Burbano (2011) document that companies adopting ethical framing for commercial decisions face credibility penalties when the underlying motive surfaces. Bhullar et al. (2025) find the same dynamic in ESG reporting: ethical language applied to financial decisions produces measurable trust damage once the gap becomes visible. If the withdrawal is partly commercial, the moral authority Greenleaf claims is on shaky ground.</w:t>
      </w:r>
    </w:p>
    <w:p w14:paraId="64776DA9" w14:textId="77777777" w:rsidR="00361C46" w:rsidRDefault="00000000">
      <w:pPr>
        <w:spacing w:after="120" w:line="360" w:lineRule="auto"/>
      </w:pPr>
      <w:r>
        <w:rPr>
          <w:rFonts w:ascii="Arial" w:hAnsi="Arial"/>
          <w:sz w:val="24"/>
        </w:rPr>
        <w:t>McNutt (2010) applies Kant’s categorical imperative to corporate governance: businesses must treat stakeholders as ends, never merely as means. That cuts both ways. Operating in markets that destroy ecosystems treats those ecosystems instrumentally; deploying employees and farmers as instruments of a political campaign fails the same test. Neither action fully satisfies the imperative.</w:t>
      </w:r>
    </w:p>
    <w:p w14:paraId="54B6DECF" w14:textId="77777777" w:rsidR="00361C46" w:rsidRDefault="00000000">
      <w:pPr>
        <w:spacing w:line="360" w:lineRule="auto"/>
      </w:pPr>
      <w:r>
        <w:rPr>
          <w:rFonts w:ascii="Arial" w:hAnsi="Arial"/>
          <w:sz w:val="24"/>
        </w:rPr>
        <w:t xml:space="preserve">Pimentel, Kuntz and Elenkov (2010) argue that ethical decisions require weighing individual reasoning, organisational context, and external environment together. Greenleaf’s decision sits awkwardly across all three: legal and probably profitable in the long run, but genuinely contested on fairness. Eccles, Ioannou and Serafeim (2014) found that high-sustainability firms outperform peers over time, which at least makes the </w:t>
      </w:r>
      <w:r>
        <w:rPr>
          <w:rFonts w:ascii="Arial" w:hAnsi="Arial"/>
          <w:sz w:val="24"/>
        </w:rPr>
        <w:lastRenderedPageBreak/>
        <w:t>long-run case real. But Rossouw (2009) observes that ethics rarely resolves through a single framework, and McMahon and Harvey (2007) warn that high moral intensity can make action feel self-evidently justified before careful analysis has happened. Okonkwo’s use of ‘complicity’ does exactly that.</w:t>
      </w:r>
    </w:p>
    <w:p w14:paraId="068E930E" w14:textId="77777777" w:rsidR="00361C46" w:rsidRDefault="00000000">
      <w:pPr>
        <w:spacing w:after="120" w:line="360" w:lineRule="auto"/>
      </w:pPr>
      <w:r>
        <w:rPr>
          <w:rFonts w:ascii="Arial" w:hAnsi="Arial"/>
          <w:b/>
          <w:sz w:val="24"/>
        </w:rPr>
        <w:t>Reflection</w:t>
      </w:r>
    </w:p>
    <w:p w14:paraId="26AC2A1F" w14:textId="3B8F10A7" w:rsidR="00361C46" w:rsidRDefault="00000000">
      <w:pPr>
        <w:spacing w:after="120" w:line="360" w:lineRule="auto"/>
      </w:pPr>
      <w:r>
        <w:rPr>
          <w:rFonts w:ascii="Arial" w:hAnsi="Arial"/>
          <w:sz w:val="24"/>
        </w:rPr>
        <w:t xml:space="preserve">I started this module treating ethical frameworks as tools for reaching correct answers. Five weeks later I am more suspicious of clean </w:t>
      </w:r>
      <w:r w:rsidR="00D71C66">
        <w:rPr>
          <w:rFonts w:ascii="Arial" w:hAnsi="Arial"/>
          <w:sz w:val="24"/>
        </w:rPr>
        <w:t xml:space="preserve">‘corporate’ </w:t>
      </w:r>
      <w:r>
        <w:rPr>
          <w:rFonts w:ascii="Arial" w:hAnsi="Arial"/>
          <w:sz w:val="24"/>
        </w:rPr>
        <w:t>answers, and more interested in what each theory fails to see.</w:t>
      </w:r>
    </w:p>
    <w:p w14:paraId="35D8BD48" w14:textId="3D5EF5C5" w:rsidR="00361C46" w:rsidRDefault="00000000">
      <w:pPr>
        <w:spacing w:after="120" w:line="360" w:lineRule="auto"/>
      </w:pPr>
      <w:r>
        <w:rPr>
          <w:rFonts w:ascii="Arial" w:hAnsi="Arial"/>
          <w:sz w:val="24"/>
        </w:rPr>
        <w:t>Waples et al. (2009) found that business ethics education produces the most durable gains when it moves beyond rule application toward genuine deliberation with competing frameworks. That matches my experience. Kotera, Conway and Van Gordon (2019) found that UK business students’ ethical reasoning deepens with intrinsic motivation to engage with complexity rather than reach efficient conclusions</w:t>
      </w:r>
      <w:r w:rsidR="00D71C66">
        <w:rPr>
          <w:rFonts w:ascii="Arial" w:hAnsi="Arial"/>
          <w:sz w:val="24"/>
        </w:rPr>
        <w:t>,</w:t>
      </w:r>
      <w:r>
        <w:rPr>
          <w:rFonts w:ascii="Arial" w:hAnsi="Arial"/>
          <w:sz w:val="24"/>
        </w:rPr>
        <w:t xml:space="preserve"> which also </w:t>
      </w:r>
      <w:r w:rsidR="00D71C66">
        <w:rPr>
          <w:rFonts w:ascii="Arial" w:hAnsi="Arial"/>
          <w:sz w:val="24"/>
        </w:rPr>
        <w:t>hits quite close to home</w:t>
      </w:r>
      <w:r>
        <w:rPr>
          <w:rFonts w:ascii="Arial" w:hAnsi="Arial"/>
          <w:sz w:val="24"/>
        </w:rPr>
        <w:t>.</w:t>
      </w:r>
    </w:p>
    <w:p w14:paraId="56E23AB6" w14:textId="77777777" w:rsidR="00361C46" w:rsidRDefault="00000000">
      <w:pPr>
        <w:spacing w:line="360" w:lineRule="auto"/>
      </w:pPr>
      <w:r>
        <w:rPr>
          <w:rFonts w:ascii="Arial" w:hAnsi="Arial"/>
          <w:sz w:val="24"/>
        </w:rPr>
        <w:t>The shift that helped most was learning to apply more than one lens on the same case. The stakeholder analysis here is a clear example: my first instinct sided with Greenleaf. Frooman’s (1999) work on influence asymmetry changed that by making visible the people who were not in the room. That is the skill I will carry forward: before settling on a conclusion, ask who is bearing the cost and whether they had any say in the decision.</w:t>
      </w:r>
    </w:p>
    <w:p w14:paraId="3FF343DD" w14:textId="77777777" w:rsidR="00361C46" w:rsidRDefault="00000000">
      <w:pPr>
        <w:spacing w:after="120" w:line="360" w:lineRule="auto"/>
      </w:pPr>
      <w:r>
        <w:rPr>
          <w:rFonts w:ascii="Arial" w:hAnsi="Arial"/>
          <w:b/>
          <w:sz w:val="24"/>
        </w:rPr>
        <w:t>References</w:t>
      </w:r>
    </w:p>
    <w:p w14:paraId="727F56C4" w14:textId="77777777" w:rsidR="00361C46" w:rsidRDefault="00000000">
      <w:pPr>
        <w:spacing w:after="80" w:line="360" w:lineRule="auto"/>
        <w:ind w:left="720" w:hanging="720"/>
      </w:pPr>
      <w:r>
        <w:rPr>
          <w:rFonts w:ascii="Arial" w:hAnsi="Arial"/>
          <w:sz w:val="24"/>
        </w:rPr>
        <w:t>Aristotle (350 BCE) Nicomachean Ethics. Translated by Ross, W.D. (1998). Oxford: Oxford University Press.</w:t>
      </w:r>
    </w:p>
    <w:p w14:paraId="1A30831C" w14:textId="77777777" w:rsidR="00361C46" w:rsidRDefault="00000000">
      <w:pPr>
        <w:spacing w:after="80" w:line="360" w:lineRule="auto"/>
        <w:ind w:left="720" w:hanging="720"/>
      </w:pPr>
      <w:r>
        <w:rPr>
          <w:rFonts w:ascii="Arial" w:hAnsi="Arial"/>
          <w:sz w:val="24"/>
        </w:rPr>
        <w:t>Ben Mehrez, I., Farhat, A. and Ajina, A. (2025) ‘Climate commitment: the impact of ESG, green innovation, and environmental governance on Canadian and U.S. companies’, Journal of Environmental Management, 396, 128108.</w:t>
      </w:r>
    </w:p>
    <w:p w14:paraId="52227DD8" w14:textId="77777777" w:rsidR="00361C46" w:rsidRDefault="00000000">
      <w:pPr>
        <w:spacing w:after="80" w:line="360" w:lineRule="auto"/>
        <w:ind w:left="720" w:hanging="720"/>
      </w:pPr>
      <w:r>
        <w:rPr>
          <w:rFonts w:ascii="Arial" w:hAnsi="Arial"/>
          <w:sz w:val="24"/>
        </w:rPr>
        <w:t>Bhullar, P.S., Joshi, M., Sharma, S., Kaur, A. and Phan, D. (2025) ‘Greenwashing and ESG: bibliometric analysis and future research agenda’, Pacific-Basin Finance Journal, 93, 102846.</w:t>
      </w:r>
    </w:p>
    <w:p w14:paraId="1042BBE9" w14:textId="77777777" w:rsidR="00361C46" w:rsidRDefault="00000000">
      <w:pPr>
        <w:spacing w:after="80" w:line="360" w:lineRule="auto"/>
        <w:ind w:left="720" w:hanging="720"/>
      </w:pPr>
      <w:r>
        <w:rPr>
          <w:rFonts w:ascii="Arial" w:hAnsi="Arial"/>
          <w:sz w:val="24"/>
        </w:rPr>
        <w:lastRenderedPageBreak/>
        <w:t>Delmas, M.A. and Burbano, V.C. (2011) ‘The drivers of greenwashing’, California Management Review, 54(1), pp. 64–87.</w:t>
      </w:r>
    </w:p>
    <w:p w14:paraId="6B2F9775" w14:textId="7D7E7F6E" w:rsidR="00361C46" w:rsidRDefault="00000000">
      <w:pPr>
        <w:spacing w:after="80" w:line="360" w:lineRule="auto"/>
        <w:ind w:left="720" w:hanging="720"/>
      </w:pPr>
      <w:r>
        <w:rPr>
          <w:rFonts w:ascii="Arial" w:hAnsi="Arial"/>
          <w:sz w:val="24"/>
        </w:rPr>
        <w:t>Eccles, R.G., Ioannou, I. and Serafeim, G. (2014) ‘The impact of corporate sustainability</w:t>
      </w:r>
      <w:r w:rsidR="0036763F">
        <w:rPr>
          <w:rFonts w:ascii="Arial" w:hAnsi="Arial"/>
          <w:sz w:val="24"/>
        </w:rPr>
        <w:t xml:space="preserve"> </w:t>
      </w:r>
      <w:r>
        <w:rPr>
          <w:rFonts w:ascii="Arial" w:hAnsi="Arial"/>
          <w:sz w:val="24"/>
        </w:rPr>
        <w:t>on organizational processes and performance’, Management Science, 60(11), pp. 2835–2857.</w:t>
      </w:r>
    </w:p>
    <w:p w14:paraId="1BD25E17" w14:textId="77777777" w:rsidR="00361C46" w:rsidRDefault="00000000">
      <w:pPr>
        <w:spacing w:after="80" w:line="360" w:lineRule="auto"/>
        <w:ind w:left="720" w:hanging="720"/>
      </w:pPr>
      <w:r>
        <w:rPr>
          <w:rFonts w:ascii="Arial" w:hAnsi="Arial"/>
          <w:sz w:val="24"/>
        </w:rPr>
        <w:t>Freeman, R.E., Wicks, A.C. and Parmar, B. (2004) ‘Stakeholder theory and “the corporate objective revisited”’, Organization Science, 15(3), pp. 364–369.</w:t>
      </w:r>
    </w:p>
    <w:p w14:paraId="7070521F" w14:textId="77777777" w:rsidR="00361C46" w:rsidRDefault="00000000">
      <w:pPr>
        <w:spacing w:after="80" w:line="360" w:lineRule="auto"/>
        <w:ind w:left="720" w:hanging="720"/>
      </w:pPr>
      <w:r>
        <w:rPr>
          <w:rFonts w:ascii="Arial" w:hAnsi="Arial"/>
          <w:sz w:val="24"/>
        </w:rPr>
        <w:t>Frooman, J. (1999) ‘Stakeholder influence strategies’, Academy of Management Review, 24(2), pp. 191–205.</w:t>
      </w:r>
    </w:p>
    <w:p w14:paraId="200B7131" w14:textId="77777777" w:rsidR="00361C46" w:rsidRDefault="00000000">
      <w:pPr>
        <w:spacing w:after="80" w:line="360" w:lineRule="auto"/>
        <w:ind w:left="720" w:hanging="720"/>
      </w:pPr>
      <w:r>
        <w:rPr>
          <w:rFonts w:ascii="Arial" w:hAnsi="Arial"/>
          <w:sz w:val="24"/>
        </w:rPr>
        <w:t>Harman, G. (1999) ‘Moral philosophy meets social psychology: virtue ethics and the fundamental attribution error’, Proceedings of the Aristotelian Society, 99(1), pp. 315–331.</w:t>
      </w:r>
    </w:p>
    <w:p w14:paraId="72021713" w14:textId="77777777" w:rsidR="00361C46" w:rsidRDefault="00000000">
      <w:pPr>
        <w:spacing w:after="80" w:line="360" w:lineRule="auto"/>
        <w:ind w:left="720" w:hanging="720"/>
      </w:pPr>
      <w:r>
        <w:rPr>
          <w:rFonts w:ascii="Arial" w:hAnsi="Arial"/>
          <w:sz w:val="24"/>
        </w:rPr>
        <w:t>Hillman, A.J. and Keim, G.D. (2001) ‘Shareholder value, stakeholder management, and social issues: what’s the bottom line?’, Strategic Management Journal, 22(2), pp. 125–139.</w:t>
      </w:r>
    </w:p>
    <w:p w14:paraId="553C2F88" w14:textId="77777777" w:rsidR="00361C46" w:rsidRDefault="00000000">
      <w:pPr>
        <w:spacing w:after="80" w:line="360" w:lineRule="auto"/>
        <w:ind w:left="720" w:hanging="720"/>
      </w:pPr>
      <w:r>
        <w:rPr>
          <w:rFonts w:ascii="Arial" w:hAnsi="Arial"/>
          <w:sz w:val="24"/>
        </w:rPr>
        <w:t>Kant, I. (1785) Groundwork of the Metaphysics of Morals. Translated by Mary Gregor, revised by Jens Timmermann, introduction by Christine M. Korsgaard (2012). Cambridge: Cambridge University Press.</w:t>
      </w:r>
    </w:p>
    <w:p w14:paraId="00F86986" w14:textId="77777777" w:rsidR="00361C46" w:rsidRDefault="00000000">
      <w:pPr>
        <w:spacing w:after="80" w:line="360" w:lineRule="auto"/>
        <w:ind w:left="720" w:hanging="720"/>
      </w:pPr>
      <w:r>
        <w:rPr>
          <w:rFonts w:ascii="Arial" w:hAnsi="Arial"/>
          <w:sz w:val="24"/>
        </w:rPr>
        <w:t>Kotera, Y., Conway, E. and Van Gordon, W. (2019) ‘Ethical judgement in UK business students: relationship with motivation, self-compassion and mental health’, International Journal of Mental Health and Addiction, 17, pp. 1132–1146.</w:t>
      </w:r>
    </w:p>
    <w:p w14:paraId="54F4E97C" w14:textId="77777777" w:rsidR="00361C46" w:rsidRDefault="00000000">
      <w:pPr>
        <w:spacing w:after="80" w:line="360" w:lineRule="auto"/>
        <w:ind w:left="720" w:hanging="720"/>
      </w:pPr>
      <w:r>
        <w:rPr>
          <w:rFonts w:ascii="Arial" w:hAnsi="Arial"/>
          <w:sz w:val="24"/>
        </w:rPr>
        <w:t>MacIntyre, A. (1981) After Virtue: A Study in Moral Theory. London: Duckworth.</w:t>
      </w:r>
    </w:p>
    <w:p w14:paraId="52AE0F8A" w14:textId="77777777" w:rsidR="00361C46" w:rsidRDefault="00000000">
      <w:pPr>
        <w:spacing w:after="80" w:line="360" w:lineRule="auto"/>
        <w:ind w:left="720" w:hanging="720"/>
      </w:pPr>
      <w:r>
        <w:rPr>
          <w:rFonts w:ascii="Arial" w:hAnsi="Arial"/>
          <w:sz w:val="24"/>
        </w:rPr>
        <w:t>McMahon, J.M. and Harvey, R.J. (2007) ‘The effect of moral intensity on ethical judgment’, Journal of Business Ethics, 72(4), pp. 335–357.</w:t>
      </w:r>
    </w:p>
    <w:p w14:paraId="7A971019" w14:textId="77777777" w:rsidR="00361C46" w:rsidRDefault="00000000">
      <w:pPr>
        <w:spacing w:after="80" w:line="360" w:lineRule="auto"/>
        <w:ind w:left="720" w:hanging="720"/>
      </w:pPr>
      <w:r>
        <w:rPr>
          <w:rFonts w:ascii="Arial" w:hAnsi="Arial"/>
          <w:sz w:val="24"/>
        </w:rPr>
        <w:t>McNutt, P.A. (2010) ‘Edited ethics: corporate governance and Kant’s philosophy’, International Journal of Social Economics, 37(10), pp. 741–754.</w:t>
      </w:r>
    </w:p>
    <w:p w14:paraId="10518FAA" w14:textId="77777777" w:rsidR="00361C46" w:rsidRDefault="00000000">
      <w:pPr>
        <w:spacing w:after="80" w:line="360" w:lineRule="auto"/>
        <w:ind w:left="720" w:hanging="720"/>
      </w:pPr>
      <w:r>
        <w:rPr>
          <w:rFonts w:ascii="Arial" w:hAnsi="Arial"/>
          <w:sz w:val="24"/>
        </w:rPr>
        <w:t>Mitchell, R.K., Agle, B.R. and Wood, D.J. (1997) ‘Toward a theory of stakeholder identification and salience: defining the principle of who and what really counts’, Academy of Management Review, 22(4), pp. 853–886.</w:t>
      </w:r>
    </w:p>
    <w:p w14:paraId="2401148C" w14:textId="77777777" w:rsidR="00361C46" w:rsidRDefault="00000000">
      <w:pPr>
        <w:spacing w:after="80" w:line="360" w:lineRule="auto"/>
        <w:ind w:left="720" w:hanging="720"/>
      </w:pPr>
      <w:r>
        <w:rPr>
          <w:rFonts w:ascii="Arial" w:hAnsi="Arial"/>
          <w:sz w:val="24"/>
        </w:rPr>
        <w:lastRenderedPageBreak/>
        <w:t>Pimentel, J.R.C., Kuntz, J.R. and Elenkov, D.S. (2010) ‘Ethical decision-making: an integrative model for business practice’, European Business Review, 22(4), pp. 359–376.</w:t>
      </w:r>
    </w:p>
    <w:p w14:paraId="587E03A4" w14:textId="77777777" w:rsidR="00361C46" w:rsidRDefault="00000000">
      <w:pPr>
        <w:spacing w:after="80" w:line="360" w:lineRule="auto"/>
        <w:ind w:left="720" w:hanging="720"/>
      </w:pPr>
      <w:r>
        <w:rPr>
          <w:rFonts w:ascii="Arial" w:hAnsi="Arial"/>
          <w:sz w:val="24"/>
        </w:rPr>
        <w:t>Rossouw, G.J. (2009) ‘The ethics of corporate governance: crucial distinctions for global comparisons’, International Journal of Law and Management, 51(1), pp. 5–9.</w:t>
      </w:r>
    </w:p>
    <w:p w14:paraId="755EA109" w14:textId="77777777" w:rsidR="00361C46" w:rsidRDefault="00000000">
      <w:pPr>
        <w:spacing w:after="80" w:line="360" w:lineRule="auto"/>
        <w:ind w:left="720" w:hanging="720"/>
      </w:pPr>
      <w:r>
        <w:rPr>
          <w:rFonts w:ascii="Arial" w:hAnsi="Arial"/>
          <w:sz w:val="24"/>
        </w:rPr>
        <w:t>Waples, E.P., Antes, A.L., Murphy, S.T., Connelly, S. and Mumford, M.D. (2009) ‘A meta-analytic investigation of business ethics instruction’, Journal of Business Ethics, 87(1), pp. 133–151.</w:t>
      </w:r>
    </w:p>
    <w:sectPr w:rsidR="00361C46"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3BB48" w14:textId="77777777" w:rsidR="00B61CCB" w:rsidRDefault="00B61CCB">
      <w:pPr>
        <w:spacing w:after="0" w:line="240" w:lineRule="auto"/>
      </w:pPr>
      <w:r>
        <w:separator/>
      </w:r>
    </w:p>
  </w:endnote>
  <w:endnote w:type="continuationSeparator" w:id="0">
    <w:p w14:paraId="2E4ABC45" w14:textId="77777777" w:rsidR="00B61CCB" w:rsidRDefault="00B61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1347" w14:textId="77777777" w:rsidR="00361C46" w:rsidRDefault="00361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85EE0" w14:textId="77777777" w:rsidR="00B61CCB" w:rsidRDefault="00B61CCB">
      <w:pPr>
        <w:spacing w:after="0" w:line="240" w:lineRule="auto"/>
      </w:pPr>
      <w:r>
        <w:separator/>
      </w:r>
    </w:p>
  </w:footnote>
  <w:footnote w:type="continuationSeparator" w:id="0">
    <w:p w14:paraId="7FD6074F" w14:textId="77777777" w:rsidR="00B61CCB" w:rsidRDefault="00B61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DBF0" w14:textId="77777777" w:rsidR="00361C46" w:rsidRDefault="00361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871348">
    <w:abstractNumId w:val="8"/>
  </w:num>
  <w:num w:numId="2" w16cid:durableId="1930503186">
    <w:abstractNumId w:val="6"/>
  </w:num>
  <w:num w:numId="3" w16cid:durableId="1114255708">
    <w:abstractNumId w:val="5"/>
  </w:num>
  <w:num w:numId="4" w16cid:durableId="1383292771">
    <w:abstractNumId w:val="4"/>
  </w:num>
  <w:num w:numId="5" w16cid:durableId="1852528210">
    <w:abstractNumId w:val="7"/>
  </w:num>
  <w:num w:numId="6" w16cid:durableId="85807713">
    <w:abstractNumId w:val="3"/>
  </w:num>
  <w:num w:numId="7" w16cid:durableId="1106651489">
    <w:abstractNumId w:val="2"/>
  </w:num>
  <w:num w:numId="8" w16cid:durableId="1653942536">
    <w:abstractNumId w:val="1"/>
  </w:num>
  <w:num w:numId="9" w16cid:durableId="59251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CAA"/>
    <w:rsid w:val="0029639D"/>
    <w:rsid w:val="00326F90"/>
    <w:rsid w:val="00361C46"/>
    <w:rsid w:val="0036763F"/>
    <w:rsid w:val="00376846"/>
    <w:rsid w:val="008513E1"/>
    <w:rsid w:val="009210B0"/>
    <w:rsid w:val="00AA1D8D"/>
    <w:rsid w:val="00B47730"/>
    <w:rsid w:val="00B61CCB"/>
    <w:rsid w:val="00BB4D7E"/>
    <w:rsid w:val="00BC1CC9"/>
    <w:rsid w:val="00CB0664"/>
    <w:rsid w:val="00D71C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6C46C"/>
  <w14:defaultImageDpi w14:val="300"/>
  <w15:docId w15:val="{E5572538-EC6E-41F1-A524-CA6FB3BCE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Zohaib Shahzada (student)</cp:lastModifiedBy>
  <cp:revision>3</cp:revision>
  <dcterms:created xsi:type="dcterms:W3CDTF">2013-12-23T23:15:00Z</dcterms:created>
  <dcterms:modified xsi:type="dcterms:W3CDTF">2026-04-05T15:02:00Z</dcterms:modified>
  <cp:category/>
</cp:coreProperties>
</file>