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3ED" w:rsidP="009163ED" w:rsidRDefault="009163ED" w14:paraId="3AD2765C" w14:textId="77777777">
      <w:pPr>
        <w:jc w:val="left"/>
      </w:pPr>
      <w:r>
        <w:t>Student Number: 21801886</w:t>
      </w:r>
    </w:p>
    <w:p w:rsidR="009163ED" w:rsidP="009163ED" w:rsidRDefault="009163ED" w14:paraId="37138BC0" w14:textId="1C0D7649">
      <w:pPr>
        <w:pStyle w:val="Heading1"/>
      </w:pPr>
      <w:r w:rsidR="009163ED">
        <w:rPr/>
        <w:t>When Exclusion is the Answer: The Simon Kallu Case</w:t>
      </w:r>
      <w:r>
        <w:tab/>
      </w:r>
    </w:p>
    <w:p w:rsidR="009163ED" w:rsidP="00753326" w:rsidRDefault="009163ED" w14:paraId="09126A2D" w14:textId="2F6F8088">
      <w:pPr>
        <w:jc w:val="left"/>
      </w:pPr>
      <w:r>
        <w:t>ICAEW Disciplinary Cases 061321/MATT &amp; 066540/MATT (November 2025)</w:t>
      </w:r>
    </w:p>
    <w:p w:rsidR="00753326" w:rsidP="00753326" w:rsidRDefault="00753326" w14:paraId="70FC9F56" w14:textId="77777777">
      <w:pPr>
        <w:jc w:val="left"/>
      </w:pPr>
    </w:p>
    <w:p w:rsidR="009163ED" w:rsidP="009163ED" w:rsidRDefault="009163ED" w14:paraId="227FF64C" w14:textId="77777777">
      <w:pPr>
        <w:pStyle w:val="Heading2"/>
        <w:spacing w:after="120"/>
      </w:pPr>
      <w:r>
        <w:t>The Case</w:t>
      </w:r>
    </w:p>
    <w:p w:rsidR="009163ED" w:rsidP="009163ED" w:rsidRDefault="009163ED" w14:paraId="2218930F" w14:textId="6D6F4DA6">
      <w:pPr>
        <w:jc w:val="left"/>
      </w:pPr>
      <w:r>
        <w:t>On 10 and 11 November 2025, the ICAEW Disciplinary Committee heard two cases against Simon Richard Kallu, a chartered accountant who’d been a member since June 2010</w:t>
      </w:r>
      <w:r w:rsidR="001C6526">
        <w:t xml:space="preserve">. </w:t>
      </w:r>
      <w:r w:rsidR="00A97F57">
        <w:t>T</w:t>
      </w:r>
      <w:r w:rsidRPr="001C6526" w:rsidR="001C6526">
        <w:t>he hearings produced different outcomes: a reprimand for the regulatory failures (ICAEW, 2025b) and, for the more serious dishonesty allegations, permanent exclusion from membership (ICAEW, 2025a).</w:t>
      </w:r>
    </w:p>
    <w:p w:rsidR="009163ED" w:rsidP="009163ED" w:rsidRDefault="009163ED" w14:paraId="23CE6AF0" w14:textId="77777777">
      <w:pPr>
        <w:jc w:val="left"/>
      </w:pPr>
    </w:p>
    <w:p w:rsidR="009163ED" w:rsidP="009163ED" w:rsidRDefault="009163ED" w14:paraId="40E92D6A" w14:textId="21E9D8BD">
      <w:pPr>
        <w:pStyle w:val="BodyText"/>
        <w:jc w:val="left"/>
      </w:pPr>
      <w:r>
        <w:t>The tribunal findings were damning. They showed how Mr. Kallu had committed multiple breaches over four years: he claimed £15,072.37 from the Coronavirus Job Retention Scheme while his staff continued working, charged personal mortgage interest (£4,470</w:t>
      </w:r>
      <w:r w:rsidR="00220B5F">
        <w:t xml:space="preserve"> </w:t>
      </w:r>
      <w:r>
        <w:t>in 2018 and then £3,471 annually) and home improvement costs (£29,340.</w:t>
      </w:r>
      <w:r w:rsidR="00EA15D6">
        <w:t>0</w:t>
      </w:r>
      <w:r>
        <w:t>9) to the company, and failed to disclose overdrawn directors' loans that peaked at £129,399.29. Exclusion is the ICAEW's most severe sanction, and it’s only reserved for cases where the damage to public confidence is so serious that continued membership is untenable (ICAEW, 2019). Here, I believe it was warranted.</w:t>
      </w:r>
    </w:p>
    <w:p w:rsidR="009163ED" w:rsidP="009163ED" w:rsidRDefault="009163ED" w14:paraId="4C800623" w14:textId="77777777">
      <w:pPr>
        <w:pStyle w:val="BodyText"/>
        <w:jc w:val="left"/>
      </w:pPr>
    </w:p>
    <w:p w:rsidR="009163ED" w:rsidP="009163ED" w:rsidRDefault="009163ED" w14:paraId="66784341" w14:textId="3E42C9EA">
      <w:pPr>
        <w:pStyle w:val="BodyText"/>
        <w:jc w:val="left"/>
      </w:pPr>
      <w:r>
        <w:t xml:space="preserve">The committee would’ve looked at mitigating factors. Did he </w:t>
      </w:r>
      <w:proofErr w:type="spellStart"/>
      <w:r>
        <w:t>show</w:t>
      </w:r>
      <w:proofErr w:type="spellEnd"/>
      <w:r>
        <w:t xml:space="preserve"> remorse? Did he cooperate with the investigation? </w:t>
      </w:r>
      <w:r w:rsidRPr="00855BFC" w:rsidR="00855BFC">
        <w:t>The tribunal noted no previous disciplinary findings against him</w:t>
      </w:r>
      <w:r>
        <w:t>. But none of that changed the outcome. Which means either there was no real mitigation, or what he did was bad enough that it didn’t matter.</w:t>
      </w:r>
    </w:p>
    <w:p w:rsidR="009163ED" w:rsidP="009163ED" w:rsidRDefault="009163ED" w14:paraId="2EB90CF3" w14:textId="77777777"/>
    <w:p w:rsidR="009163ED" w:rsidP="009163ED" w:rsidRDefault="009163ED" w14:paraId="0C32952E" w14:textId="77777777">
      <w:pPr>
        <w:pStyle w:val="Heading2"/>
        <w:spacing w:after="120"/>
      </w:pPr>
      <w:r>
        <w:t>Applying Ethical Theories</w:t>
      </w:r>
    </w:p>
    <w:p w:rsidR="009163ED" w:rsidP="009163ED" w:rsidRDefault="009163ED" w14:paraId="0B91C375" w14:textId="77777777">
      <w:pPr>
        <w:pStyle w:val="Heading3"/>
        <w:spacing w:after="120"/>
      </w:pPr>
      <w:r>
        <w:t>Utilitarianism: Weighing the Outcomes</w:t>
      </w:r>
    </w:p>
    <w:p w:rsidR="009163ED" w:rsidP="009163ED" w:rsidRDefault="009163ED" w14:paraId="72040664" w14:textId="5520CD19">
      <w:pPr>
        <w:jc w:val="left"/>
      </w:pPr>
      <w:r>
        <w:t xml:space="preserve">Utilitarianism </w:t>
      </w:r>
      <w:proofErr w:type="gramStart"/>
      <w:r>
        <w:t>judges</w:t>
      </w:r>
      <w:proofErr w:type="gramEnd"/>
      <w:r>
        <w:t xml:space="preserve"> actions by their consequences. Bentham and Mill’s classic formulation: the greatest happiness for the greatest number (Crane and Matten, 2019</w:t>
      </w:r>
      <w:r w:rsidR="004B4F65">
        <w:t xml:space="preserve">, </w:t>
      </w:r>
      <w:r w:rsidR="00FF49A4">
        <w:t>p</w:t>
      </w:r>
      <w:r w:rsidR="004B4F65">
        <w:t>.9</w:t>
      </w:r>
      <w:r w:rsidR="005C54CD">
        <w:t>7</w:t>
      </w:r>
      <w:r>
        <w:t xml:space="preserve">). </w:t>
      </w:r>
      <w:proofErr w:type="gramStart"/>
      <w:r>
        <w:t>So</w:t>
      </w:r>
      <w:proofErr w:type="gramEnd"/>
      <w:r>
        <w:t xml:space="preserve"> looking at Mr. Kallu’s case, does his exclusion produce more good than harm?</w:t>
      </w:r>
    </w:p>
    <w:p w:rsidR="009163ED" w:rsidP="009163ED" w:rsidRDefault="009163ED" w14:paraId="1F760E96" w14:textId="77777777">
      <w:pPr>
        <w:jc w:val="left"/>
      </w:pPr>
    </w:p>
    <w:p w:rsidR="009163ED" w:rsidP="009163ED" w:rsidRDefault="009163ED" w14:paraId="0F1A4578" w14:textId="77777777">
      <w:pPr>
        <w:jc w:val="left"/>
      </w:pPr>
      <w:r>
        <w:t xml:space="preserve">You could argue it does. By removing him, the ICAEW protects future clients from his potential mismanagement and preserves the overall trust </w:t>
      </w:r>
      <w:proofErr w:type="gramStart"/>
      <w:r>
        <w:t>people place</w:t>
      </w:r>
      <w:proofErr w:type="gramEnd"/>
      <w:r>
        <w:t xml:space="preserve"> in the profession. It’s a signal to everyone else that certain lines can't be crossed. If his conduct involved anything like furlough fraud or falsifying expenses (which it did) the harm to clients and the public purse is massive. Utilitarian logic says the cost to Mr. Kallu’s career is a fair trade-off for preventing that kind of widespread damage.</w:t>
      </w:r>
    </w:p>
    <w:p w:rsidR="009163ED" w:rsidP="009163ED" w:rsidRDefault="009163ED" w14:paraId="7DE7D02D" w14:textId="77777777">
      <w:pPr>
        <w:jc w:val="left"/>
      </w:pPr>
      <w:r>
        <w:br/>
      </w:r>
      <w:r>
        <w:t xml:space="preserve">But utilitarianism can get messy when you look at </w:t>
      </w:r>
      <w:proofErr w:type="gramStart"/>
      <w:r>
        <w:t>the alternatives</w:t>
      </w:r>
      <w:proofErr w:type="gramEnd"/>
      <w:r>
        <w:t xml:space="preserve">. Could a suspension and some serious retraining have done the same job? If you can protect the public and still allow for rehabilitation, permanent exclusion feels like a net loss in "utility" for the individual without a clear gain for the public. The theory cares about outcomes, not fairness. If the misery caused </w:t>
      </w:r>
      <w:proofErr w:type="gramStart"/>
      <w:r>
        <w:t>to</w:t>
      </w:r>
      <w:proofErr w:type="gramEnd"/>
      <w:r>
        <w:t xml:space="preserve"> Mr. Kallu outweighs the slight increase in public safety, the math fails. We're also just guessing about the deterrent effect as without hard data, the utilitarian defense is mostly speculation.</w:t>
      </w:r>
    </w:p>
    <w:p w:rsidR="009163ED" w:rsidP="009163ED" w:rsidRDefault="009163ED" w14:paraId="412A4868" w14:textId="77777777"/>
    <w:p w:rsidR="009163ED" w:rsidP="009163ED" w:rsidRDefault="009163ED" w14:paraId="0E289394" w14:textId="77777777">
      <w:pPr>
        <w:pStyle w:val="Heading3"/>
        <w:spacing w:after="120"/>
      </w:pPr>
      <w:r>
        <w:t>Deontology: Rules, Duty, and Integrity</w:t>
      </w:r>
    </w:p>
    <w:p w:rsidR="009163ED" w:rsidP="009163ED" w:rsidRDefault="009163ED" w14:paraId="45B2476B" w14:textId="0CA1177B">
      <w:pPr>
        <w:jc w:val="left"/>
      </w:pPr>
      <w:r>
        <w:t xml:space="preserve">Deontology ignores the fallout and focuses purely on duty. Kant’s categorical imperative suggests an action is only right if it holds up as a universal </w:t>
      </w:r>
      <w:proofErr w:type="gramStart"/>
      <w:r>
        <w:t>law;</w:t>
      </w:r>
      <w:proofErr w:type="gramEnd"/>
      <w:r>
        <w:t xml:space="preserve"> treating people as ends, not tools for gain (Fisher and Lovell, 200</w:t>
      </w:r>
      <w:r w:rsidR="003948A0">
        <w:t xml:space="preserve">6, </w:t>
      </w:r>
      <w:r w:rsidR="00FF49A4">
        <w:t>p</w:t>
      </w:r>
      <w:r w:rsidR="003948A0">
        <w:t>.108</w:t>
      </w:r>
      <w:r w:rsidR="00FF49A4">
        <w:t xml:space="preserve">, </w:t>
      </w:r>
      <w:r w:rsidRPr="00FF49A4" w:rsidR="00FF49A4">
        <w:t>Trevino and Nelson, 202</w:t>
      </w:r>
      <w:r w:rsidR="00FF49A4">
        <w:t>0</w:t>
      </w:r>
      <w:r w:rsidRPr="00FF49A4" w:rsidR="00FF49A4">
        <w:t>, p.43</w:t>
      </w:r>
      <w:r>
        <w:t xml:space="preserve">). For the ICAEW, this means enforcing their five core principles: integrity, objectivity, competence, confidentiality, and </w:t>
      </w:r>
      <w:r w:rsidR="00753326">
        <w:t xml:space="preserve">professional </w:t>
      </w:r>
      <w:r>
        <w:t>behavio</w:t>
      </w:r>
      <w:r w:rsidR="006A5653">
        <w:t>u</w:t>
      </w:r>
      <w:r>
        <w:t>r (ICAEW, 202</w:t>
      </w:r>
      <w:r w:rsidR="008C0A43">
        <w:t>5</w:t>
      </w:r>
      <w:r>
        <w:t>).</w:t>
      </w:r>
    </w:p>
    <w:p w:rsidR="009163ED" w:rsidP="009163ED" w:rsidRDefault="009163ED" w14:paraId="636AA59E" w14:textId="77777777">
      <w:pPr>
        <w:jc w:val="left"/>
      </w:pPr>
      <w:r>
        <w:br/>
      </w:r>
      <w:r>
        <w:t>Mr. Kallu’s exclusion wasn’t about "maximizing happiness" but about a non-negotiable duty to act with integrity. There's real weight to this because we don't act ethically just because it pays off; we do it because it’s the job. It’s a duty. Clients hand over their entire financial lives to accountants based on that trust. If you break it, you’ve failed the fundamental duty of the role.</w:t>
      </w:r>
    </w:p>
    <w:p w:rsidR="009163ED" w:rsidP="009163ED" w:rsidRDefault="009163ED" w14:paraId="0D607EC2" w14:textId="0D77092D">
      <w:pPr>
        <w:jc w:val="left"/>
      </w:pPr>
      <w:r>
        <w:br/>
      </w:r>
      <w:r>
        <w:t>The problem with this "duty-first" approach is that it's incredibly rigid. It struggles with proportionality. Should a minor reputational slip-up be treated with the same categorical weight as systematic fraud? Deontology says a breach is a breach. It also hits a wall when duties conflict. If you're caught between confidentiality and a duty to report fraud, the theory doesn't give you much of a map. The ICAEW Code has a clause for resolving these conflicts (ICAEW, 202</w:t>
      </w:r>
      <w:r w:rsidR="00DA14C4">
        <w:t>5</w:t>
      </w:r>
      <w:r>
        <w:t>, s.100.11), but (to me) that feels more like a practical workaround for a theoretical weakness.</w:t>
      </w:r>
    </w:p>
    <w:p w:rsidR="009163ED" w:rsidP="009163ED" w:rsidRDefault="009163ED" w14:paraId="6FC8FA41" w14:textId="77777777"/>
    <w:p w:rsidR="009163ED" w:rsidP="009163ED" w:rsidRDefault="009163ED" w14:paraId="0C357E70" w14:textId="77777777">
      <w:pPr>
        <w:pStyle w:val="Heading2"/>
        <w:spacing w:after="120"/>
      </w:pPr>
      <w:r>
        <w:t>Was It Fair?</w:t>
      </w:r>
    </w:p>
    <w:p w:rsidR="006A5653" w:rsidP="009163ED" w:rsidRDefault="009163ED" w14:paraId="40FFCBF2" w14:textId="6AD0B63A">
      <w:pPr>
        <w:jc w:val="left"/>
      </w:pPr>
      <w:r>
        <w:t xml:space="preserve">Procedurally? Yes. Substantively? </w:t>
      </w:r>
      <w:r w:rsidR="006A5653">
        <w:t>Also,</w:t>
      </w:r>
      <w:r>
        <w:t xml:space="preserve"> yes. The misconduct was deliberate and financially significant. Furlough fraud, falsified expenses, undisclosed loans, and </w:t>
      </w:r>
      <w:r w:rsidR="00D34D40">
        <w:t xml:space="preserve">Anti-Money </w:t>
      </w:r>
      <w:r w:rsidR="006A5653">
        <w:t>Laundering (</w:t>
      </w:r>
      <w:r>
        <w:t>AML</w:t>
      </w:r>
      <w:r w:rsidR="00D34D40">
        <w:t>)</w:t>
      </w:r>
      <w:r>
        <w:t xml:space="preserve"> failures across four years. </w:t>
      </w:r>
      <w:r w:rsidRPr="00B070FA" w:rsidR="00B070FA">
        <w:t xml:space="preserve">Exclusion in the dishonesty case, a reprimand in the regulatory case, combined with £23,000 in penalties and £50,000 costs, reflects the tribunal's </w:t>
      </w:r>
      <w:r w:rsidR="00855BFC">
        <w:t>calculated</w:t>
      </w:r>
      <w:r w:rsidRPr="00B070FA" w:rsidR="00B070FA">
        <w:t xml:space="preserve"> response to the scale and duration of the wrongdoing.</w:t>
      </w:r>
    </w:p>
    <w:p w:rsidR="009163ED" w:rsidP="009163ED" w:rsidRDefault="009163ED" w14:paraId="7B4034AC" w14:textId="044E7E42">
      <w:pPr>
        <w:jc w:val="left"/>
      </w:pPr>
      <w:r>
        <w:br/>
      </w:r>
      <w:r w:rsidRPr="007A17C1" w:rsidR="007A17C1">
        <w:t>That said, exclusion is extreme</w:t>
      </w:r>
      <w:r w:rsidR="007A17C1">
        <w:t>,</w:t>
      </w:r>
      <w:r w:rsidRPr="007A17C1" w:rsidR="007A17C1">
        <w:t xml:space="preserve"> it ends a career</w:t>
      </w:r>
      <w:r w:rsidR="007A17C1">
        <w:t xml:space="preserve">, </w:t>
      </w:r>
      <w:r w:rsidRPr="007A17C1" w:rsidR="007A17C1">
        <w:t>but fairness in professional discipline isn't leniency</w:t>
      </w:r>
      <w:r>
        <w:t xml:space="preserve">. It's proportionality and consistency. If Mr. Kallu's conduct was egregious, repeated, or showed total disregard for professional standards, exclusion fits. </w:t>
      </w:r>
      <w:r w:rsidRPr="00683F61" w:rsidR="00683F61">
        <w:t>The severity of the combined sanctions</w:t>
      </w:r>
      <w:r w:rsidR="00683F61">
        <w:t xml:space="preserve"> (</w:t>
      </w:r>
      <w:r w:rsidRPr="00683F61" w:rsidR="00683F61">
        <w:t>exclusion, £23,000 in penalties, £50,000 in costs</w:t>
      </w:r>
      <w:r w:rsidR="00683F61">
        <w:t>)</w:t>
      </w:r>
      <w:r w:rsidRPr="00683F61" w:rsidR="00683F61">
        <w:t xml:space="preserve"> suggests the Committee saw a pattern, not a slip-up.</w:t>
      </w:r>
    </w:p>
    <w:p w:rsidR="009163ED" w:rsidP="009163ED" w:rsidRDefault="009163ED" w14:paraId="6931AE35" w14:textId="77777777">
      <w:pPr>
        <w:jc w:val="left"/>
      </w:pPr>
      <w:r>
        <w:br/>
      </w:r>
      <w:r>
        <w:t>The finality of it still sits uncomfortably with me. Utilitarianism asks if he could be useful again, while deontology just points at the broken rule. I don't think professional ethics is about finding a "winning" theory. It's about living in the tension between them. Sometimes they line up, and sometimes they don't. When they don't, the choice reveals what you value more: outcomes or principles?</w:t>
      </w:r>
    </w:p>
    <w:p w:rsidR="009163ED" w:rsidP="009163ED" w:rsidRDefault="009163ED" w14:paraId="31F50DAF" w14:textId="61967739">
      <w:pPr>
        <w:jc w:val="left"/>
      </w:pPr>
      <w:r>
        <w:br/>
      </w:r>
      <w:r>
        <w:t>For my own career, the takeaway is pretty blunt: these codes aren't just suggestions. They’re what define</w:t>
      </w:r>
      <w:r w:rsidR="006A5653">
        <w:t>s</w:t>
      </w:r>
      <w:r>
        <w:t xml:space="preserve"> you. Breach them, and you don't only lose your job. You risk losing the professional identity you spent years building. Mr. Kallu isn't an accountant anymore because his actions made that title a lie. That’s the real cost. In this game, ethical failures aren't just errors; I believe they're self-destruction.</w:t>
      </w:r>
    </w:p>
    <w:p w:rsidR="009163ED" w:rsidP="009163ED" w:rsidRDefault="009163ED" w14:paraId="211AB1AB" w14:textId="77777777"/>
    <w:p w:rsidR="009163ED" w:rsidP="009163ED" w:rsidRDefault="009163ED" w14:paraId="181E9E5A" w14:textId="77777777">
      <w:pPr>
        <w:pStyle w:val="Heading2"/>
        <w:spacing w:after="120"/>
      </w:pPr>
      <w:r>
        <w:t>References</w:t>
      </w:r>
    </w:p>
    <w:p w:rsidR="009163ED" w:rsidP="009163ED" w:rsidRDefault="009163ED" w14:paraId="69ADA322" w14:textId="77777777">
      <w:pPr>
        <w:jc w:val="left"/>
      </w:pPr>
      <w:r>
        <w:t xml:space="preserve">Crane, A., Matten, D., Glozer, S. and Spence, L. (2019) Business Ethics: Managing Corporate Citizenship and Sustainability in the Age of Globalization. 5th </w:t>
      </w:r>
      <w:proofErr w:type="spellStart"/>
      <w:proofErr w:type="gramStart"/>
      <w:r>
        <w:t>edn</w:t>
      </w:r>
      <w:proofErr w:type="spellEnd"/>
      <w:proofErr w:type="gramEnd"/>
      <w:r>
        <w:t>. Oxford: Oxford University Press.</w:t>
      </w:r>
    </w:p>
    <w:p w:rsidR="009163ED" w:rsidP="009163ED" w:rsidRDefault="009163ED" w14:paraId="45583148" w14:textId="579516CF">
      <w:pPr>
        <w:pStyle w:val="BodyText"/>
        <w:jc w:val="left"/>
      </w:pPr>
      <w:r>
        <w:t>Fisher, C. and Lovell, A. (200</w:t>
      </w:r>
      <w:r w:rsidR="002344E0">
        <w:t>6</w:t>
      </w:r>
      <w:r>
        <w:t xml:space="preserve">) Business Ethics and Values: Individual, Corporate and International Perspectives. </w:t>
      </w:r>
      <w:r w:rsidR="00217319">
        <w:t>2n</w:t>
      </w:r>
      <w:r>
        <w:t xml:space="preserve">d </w:t>
      </w:r>
      <w:proofErr w:type="spellStart"/>
      <w:proofErr w:type="gramStart"/>
      <w:r>
        <w:t>edn</w:t>
      </w:r>
      <w:proofErr w:type="spellEnd"/>
      <w:proofErr w:type="gramEnd"/>
      <w:r>
        <w:t>. Harlow: Pearson Education.</w:t>
      </w:r>
    </w:p>
    <w:p w:rsidR="009163ED" w:rsidP="009163ED" w:rsidRDefault="009163ED" w14:paraId="63678081" w14:textId="77777777">
      <w:pPr>
        <w:pStyle w:val="BodyText"/>
        <w:jc w:val="left"/>
      </w:pPr>
      <w:r>
        <w:t xml:space="preserve">ICAEW (2019) Disciplinary </w:t>
      </w:r>
      <w:proofErr w:type="gramStart"/>
      <w:r>
        <w:t>Bye-laws</w:t>
      </w:r>
      <w:proofErr w:type="gramEnd"/>
      <w:r>
        <w:t>: Guidance on Sanctions. London: Institute of Chartered Accountants in England and Wales. Available at: https://www.icaew.com/regulation (Accessed: 22 February 2026).</w:t>
      </w:r>
    </w:p>
    <w:p w:rsidR="009163ED" w:rsidP="009163ED" w:rsidRDefault="009163ED" w14:paraId="14B9BD8B" w14:textId="0D0E61D5">
      <w:pPr>
        <w:pStyle w:val="BodyText"/>
        <w:jc w:val="left"/>
      </w:pPr>
      <w:r>
        <w:t>ICAEW (202</w:t>
      </w:r>
      <w:r w:rsidR="008C0A43">
        <w:t>5</w:t>
      </w:r>
      <w:r>
        <w:t xml:space="preserve">) Code of Ethics. London: Institute of Chartered Accountants in England and Wales. Available at: </w:t>
      </w:r>
      <w:r w:rsidRPr="008C0A43" w:rsidR="008C0A43">
        <w:t>https://www.icaew.com/-/media/corporate/files/technical/ethics/code-of-ethics/icaew-code-of-ethics-2025.ashx</w:t>
      </w:r>
      <w:r>
        <w:t xml:space="preserve"> (Accessed: 22 February 2026).</w:t>
      </w:r>
    </w:p>
    <w:p w:rsidR="009163ED" w:rsidP="009163ED" w:rsidRDefault="009163ED" w14:paraId="34A92775" w14:textId="77777777">
      <w:pPr>
        <w:pStyle w:val="BodyText"/>
        <w:jc w:val="left"/>
      </w:pPr>
      <w:r>
        <w:t xml:space="preserve">ICAEW (2025a) Case No. 061321/MATT: Disciplinary Committee Publicity Statement. London: Institute of Chartered Accountants in England and Wales. Available at: </w:t>
      </w:r>
      <w:r>
        <w:t>https://www.icaew.com/-/media/corporate/ddb/061321MATT-4396186-Pdf_DC_Publicity_Statement.ashx (Accessed: 23 February 2026).</w:t>
      </w:r>
    </w:p>
    <w:p w:rsidR="009163ED" w:rsidP="009163ED" w:rsidRDefault="009163ED" w14:paraId="585B828D" w14:textId="77777777">
      <w:pPr>
        <w:pStyle w:val="BodyText"/>
        <w:jc w:val="left"/>
      </w:pPr>
      <w:r>
        <w:t>ICAEW (2025b) Case No. 066540/MATT: Disciplinary Committee Publicity Statement. London: Institute of Chartered Accountants in England and Wales. Available at: https://www.icaew.com/-/media/corporate/ddb/066540MATT-4396201-Pdf_DC_Publicity_Statement.ashx (Accessed: 23 February 2026).</w:t>
      </w:r>
    </w:p>
    <w:p w:rsidR="009163ED" w:rsidP="009163ED" w:rsidRDefault="009163ED" w14:paraId="49AC4D43" w14:textId="1AA81306">
      <w:pPr>
        <w:pStyle w:val="BodyText"/>
        <w:jc w:val="left"/>
      </w:pPr>
      <w:r>
        <w:t>Trevino, L.K. and Nelson, K.A. (202</w:t>
      </w:r>
      <w:r w:rsidR="0047074D">
        <w:t>0</w:t>
      </w:r>
      <w:r>
        <w:t xml:space="preserve">) Managing Business Ethics: Straight Talk about How to Do It Right. </w:t>
      </w:r>
      <w:r w:rsidR="0047074D">
        <w:t>7</w:t>
      </w:r>
      <w:r>
        <w:t xml:space="preserve">th </w:t>
      </w:r>
      <w:proofErr w:type="spellStart"/>
      <w:proofErr w:type="gramStart"/>
      <w:r>
        <w:t>edn</w:t>
      </w:r>
      <w:proofErr w:type="spellEnd"/>
      <w:proofErr w:type="gramEnd"/>
      <w:r>
        <w:t>. Hoboken, NJ: Wiley.</w:t>
      </w:r>
    </w:p>
    <w:p w:rsidR="009163ED" w:rsidP="009163ED" w:rsidRDefault="009163ED" w14:paraId="721CEEB6" w14:textId="77777777"/>
    <w:p w:rsidR="009163ED" w:rsidP="009163ED" w:rsidRDefault="009163ED" w14:paraId="5AFEA11F" w14:textId="77777777"/>
    <w:p w:rsidRPr="00E35C10" w:rsidR="00B308B5" w:rsidP="00E35C10" w:rsidRDefault="00B308B5" w14:paraId="69C0EEFC" w14:textId="77777777"/>
    <w:sectPr w:rsidRPr="00E35C10" w:rsidR="00B308B5" w:rsidSect="00B308B5">
      <w:headerReference w:type="default" r:id="rId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6F5" w:rsidRDefault="004A26F5" w14:paraId="7D0220D3" w14:textId="77777777">
      <w:pPr>
        <w:spacing w:after="0" w:line="240" w:lineRule="auto"/>
      </w:pPr>
      <w:r>
        <w:separator/>
      </w:r>
    </w:p>
  </w:endnote>
  <w:endnote w:type="continuationSeparator" w:id="0">
    <w:p w:rsidR="004A26F5" w:rsidRDefault="004A26F5" w14:paraId="321C69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6F5" w:rsidRDefault="004A26F5" w14:paraId="4B9DCB5F" w14:textId="77777777">
      <w:pPr>
        <w:spacing w:after="0" w:line="240" w:lineRule="auto"/>
      </w:pPr>
      <w:r>
        <w:separator/>
      </w:r>
    </w:p>
  </w:footnote>
  <w:footnote w:type="continuationSeparator" w:id="0">
    <w:p w:rsidR="004A26F5" w:rsidRDefault="004A26F5" w14:paraId="4F3769F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08B5" w:rsidRDefault="00B308B5" w14:paraId="6049067F"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B5"/>
    <w:rsid w:val="001442F3"/>
    <w:rsid w:val="001C6526"/>
    <w:rsid w:val="00217319"/>
    <w:rsid w:val="00220B5F"/>
    <w:rsid w:val="002344E0"/>
    <w:rsid w:val="003605D7"/>
    <w:rsid w:val="003948A0"/>
    <w:rsid w:val="0047074D"/>
    <w:rsid w:val="004A26F5"/>
    <w:rsid w:val="004B4F65"/>
    <w:rsid w:val="0059541D"/>
    <w:rsid w:val="005C54CD"/>
    <w:rsid w:val="005E30FD"/>
    <w:rsid w:val="006746A8"/>
    <w:rsid w:val="00683F61"/>
    <w:rsid w:val="006A5653"/>
    <w:rsid w:val="006F5F72"/>
    <w:rsid w:val="00753326"/>
    <w:rsid w:val="0076086C"/>
    <w:rsid w:val="007A17C1"/>
    <w:rsid w:val="007A49C9"/>
    <w:rsid w:val="007D0C87"/>
    <w:rsid w:val="00855BFC"/>
    <w:rsid w:val="00863BFD"/>
    <w:rsid w:val="0089051E"/>
    <w:rsid w:val="008C0A43"/>
    <w:rsid w:val="009163ED"/>
    <w:rsid w:val="00A53A42"/>
    <w:rsid w:val="00A677CB"/>
    <w:rsid w:val="00A774A3"/>
    <w:rsid w:val="00A97F57"/>
    <w:rsid w:val="00AB571A"/>
    <w:rsid w:val="00B070FA"/>
    <w:rsid w:val="00B308B5"/>
    <w:rsid w:val="00B357AC"/>
    <w:rsid w:val="00B73657"/>
    <w:rsid w:val="00D34D40"/>
    <w:rsid w:val="00DA14C4"/>
    <w:rsid w:val="00DB3A5A"/>
    <w:rsid w:val="00E35C10"/>
    <w:rsid w:val="00EA15D6"/>
    <w:rsid w:val="00F42472"/>
    <w:rsid w:val="00F941DB"/>
    <w:rsid w:val="00FF49A4"/>
    <w:rsid w:val="29E7D88C"/>
    <w:rsid w:val="4591D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83F6"/>
  <w15:chartTrackingRefBased/>
  <w15:docId w15:val="{2A742AC4-2E7B-4142-B1CD-30CD0BA060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08B5"/>
    <w:pPr>
      <w:spacing w:after="120" w:line="360" w:lineRule="auto"/>
      <w:jc w:val="both"/>
    </w:pPr>
    <w:rPr>
      <w:rFonts w:ascii="Arial" w:hAnsi="Arial" w:eastAsiaTheme="minorEastAsia"/>
      <w:color w:val="000000"/>
      <w:kern w:val="0"/>
      <w:szCs w:val="22"/>
      <w:lang w:val="en-US"/>
      <w14:ligatures w14:val="none"/>
    </w:rPr>
  </w:style>
  <w:style w:type="paragraph" w:styleId="Heading1">
    <w:name w:val="heading 1"/>
    <w:basedOn w:val="Normal"/>
    <w:next w:val="Normal"/>
    <w:link w:val="Heading1Char"/>
    <w:uiPriority w:val="9"/>
    <w:qFormat/>
    <w:rsid w:val="00B308B5"/>
    <w:pPr>
      <w:keepNext/>
      <w:keepLines/>
      <w:spacing w:before="360" w:after="80" w:line="278" w:lineRule="auto"/>
      <w:jc w:val="left"/>
      <w:outlineLvl w:val="0"/>
    </w:pPr>
    <w:rPr>
      <w:rFonts w:asciiTheme="majorHAnsi" w:hAnsiTheme="majorHAnsi" w:eastAsiaTheme="majorEastAsia"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B308B5"/>
    <w:pPr>
      <w:keepNext/>
      <w:keepLines/>
      <w:spacing w:before="160" w:after="80" w:line="278" w:lineRule="auto"/>
      <w:jc w:val="left"/>
      <w:outlineLvl w:val="1"/>
    </w:pPr>
    <w:rPr>
      <w:rFonts w:asciiTheme="majorHAnsi" w:hAnsiTheme="majorHAnsi" w:eastAsiaTheme="majorEastAsia"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B308B5"/>
    <w:pPr>
      <w:keepNext/>
      <w:keepLines/>
      <w:spacing w:before="160" w:after="80" w:line="278" w:lineRule="auto"/>
      <w:jc w:val="left"/>
      <w:outlineLvl w:val="2"/>
    </w:pPr>
    <w:rPr>
      <w:rFonts w:asciiTheme="minorHAnsi" w:hAnsiTheme="minorHAnsi"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B308B5"/>
    <w:pPr>
      <w:keepNext/>
      <w:keepLines/>
      <w:spacing w:before="80" w:after="40" w:line="278" w:lineRule="auto"/>
      <w:jc w:val="left"/>
      <w:outlineLvl w:val="3"/>
    </w:pPr>
    <w:rPr>
      <w:rFonts w:asciiTheme="minorHAnsi" w:hAnsiTheme="minorHAnsi" w:eastAsiaTheme="majorEastAsia" w:cstheme="majorBidi"/>
      <w:i/>
      <w:iCs/>
      <w:color w:val="0F4761" w:themeColor="accent1" w:themeShade="BF"/>
      <w:kern w:val="2"/>
      <w:szCs w:val="24"/>
      <w:lang w:val="en-GB"/>
      <w14:ligatures w14:val="standardContextual"/>
    </w:rPr>
  </w:style>
  <w:style w:type="paragraph" w:styleId="Heading5">
    <w:name w:val="heading 5"/>
    <w:basedOn w:val="Normal"/>
    <w:next w:val="Normal"/>
    <w:link w:val="Heading5Char"/>
    <w:uiPriority w:val="9"/>
    <w:semiHidden/>
    <w:unhideWhenUsed/>
    <w:qFormat/>
    <w:rsid w:val="00B308B5"/>
    <w:pPr>
      <w:keepNext/>
      <w:keepLines/>
      <w:spacing w:before="80" w:after="40" w:line="278" w:lineRule="auto"/>
      <w:jc w:val="left"/>
      <w:outlineLvl w:val="4"/>
    </w:pPr>
    <w:rPr>
      <w:rFonts w:asciiTheme="minorHAnsi" w:hAnsiTheme="minorHAnsi" w:eastAsiaTheme="majorEastAsia" w:cstheme="majorBidi"/>
      <w:color w:val="0F4761" w:themeColor="accent1" w:themeShade="BF"/>
      <w:kern w:val="2"/>
      <w:szCs w:val="24"/>
      <w:lang w:val="en-GB"/>
      <w14:ligatures w14:val="standardContextual"/>
    </w:rPr>
  </w:style>
  <w:style w:type="paragraph" w:styleId="Heading6">
    <w:name w:val="heading 6"/>
    <w:basedOn w:val="Normal"/>
    <w:next w:val="Normal"/>
    <w:link w:val="Heading6Char"/>
    <w:uiPriority w:val="9"/>
    <w:semiHidden/>
    <w:unhideWhenUsed/>
    <w:qFormat/>
    <w:rsid w:val="00B308B5"/>
    <w:pPr>
      <w:keepNext/>
      <w:keepLines/>
      <w:spacing w:before="40" w:after="0" w:line="278" w:lineRule="auto"/>
      <w:jc w:val="left"/>
      <w:outlineLvl w:val="5"/>
    </w:pPr>
    <w:rPr>
      <w:rFonts w:asciiTheme="minorHAnsi" w:hAnsiTheme="minorHAnsi" w:eastAsiaTheme="majorEastAsia" w:cstheme="majorBidi"/>
      <w:i/>
      <w:iCs/>
      <w:color w:val="595959" w:themeColor="text1" w:themeTint="A6"/>
      <w:kern w:val="2"/>
      <w:szCs w:val="24"/>
      <w:lang w:val="en-GB"/>
      <w14:ligatures w14:val="standardContextual"/>
    </w:rPr>
  </w:style>
  <w:style w:type="paragraph" w:styleId="Heading7">
    <w:name w:val="heading 7"/>
    <w:basedOn w:val="Normal"/>
    <w:next w:val="Normal"/>
    <w:link w:val="Heading7Char"/>
    <w:uiPriority w:val="9"/>
    <w:semiHidden/>
    <w:unhideWhenUsed/>
    <w:qFormat/>
    <w:rsid w:val="00B308B5"/>
    <w:pPr>
      <w:keepNext/>
      <w:keepLines/>
      <w:spacing w:before="40" w:after="0" w:line="278" w:lineRule="auto"/>
      <w:jc w:val="left"/>
      <w:outlineLvl w:val="6"/>
    </w:pPr>
    <w:rPr>
      <w:rFonts w:asciiTheme="minorHAnsi" w:hAnsiTheme="minorHAnsi" w:eastAsiaTheme="majorEastAsia" w:cstheme="majorBidi"/>
      <w:color w:val="595959" w:themeColor="text1" w:themeTint="A6"/>
      <w:kern w:val="2"/>
      <w:szCs w:val="24"/>
      <w:lang w:val="en-GB"/>
      <w14:ligatures w14:val="standardContextual"/>
    </w:rPr>
  </w:style>
  <w:style w:type="paragraph" w:styleId="Heading8">
    <w:name w:val="heading 8"/>
    <w:basedOn w:val="Normal"/>
    <w:next w:val="Normal"/>
    <w:link w:val="Heading8Char"/>
    <w:uiPriority w:val="9"/>
    <w:semiHidden/>
    <w:unhideWhenUsed/>
    <w:qFormat/>
    <w:rsid w:val="00B308B5"/>
    <w:pPr>
      <w:keepNext/>
      <w:keepLines/>
      <w:spacing w:after="0" w:line="278" w:lineRule="auto"/>
      <w:jc w:val="left"/>
      <w:outlineLvl w:val="7"/>
    </w:pPr>
    <w:rPr>
      <w:rFonts w:asciiTheme="minorHAnsi" w:hAnsiTheme="minorHAnsi" w:eastAsiaTheme="majorEastAsia" w:cstheme="majorBidi"/>
      <w:i/>
      <w:iCs/>
      <w:color w:val="272727" w:themeColor="text1" w:themeTint="D8"/>
      <w:kern w:val="2"/>
      <w:szCs w:val="24"/>
      <w:lang w:val="en-GB"/>
      <w14:ligatures w14:val="standardContextual"/>
    </w:rPr>
  </w:style>
  <w:style w:type="paragraph" w:styleId="Heading9">
    <w:name w:val="heading 9"/>
    <w:basedOn w:val="Normal"/>
    <w:next w:val="Normal"/>
    <w:link w:val="Heading9Char"/>
    <w:uiPriority w:val="9"/>
    <w:semiHidden/>
    <w:unhideWhenUsed/>
    <w:qFormat/>
    <w:rsid w:val="00B308B5"/>
    <w:pPr>
      <w:keepNext/>
      <w:keepLines/>
      <w:spacing w:after="0" w:line="278" w:lineRule="auto"/>
      <w:jc w:val="left"/>
      <w:outlineLvl w:val="8"/>
    </w:pPr>
    <w:rPr>
      <w:rFonts w:asciiTheme="minorHAnsi" w:hAnsiTheme="minorHAnsi" w:eastAsiaTheme="majorEastAsia" w:cstheme="majorBidi"/>
      <w:color w:val="272727" w:themeColor="text1" w:themeTint="D8"/>
      <w:kern w:val="2"/>
      <w:szCs w:val="24"/>
      <w:lang w:val="en-GB"/>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308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308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308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308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308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308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308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308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308B5"/>
    <w:rPr>
      <w:rFonts w:eastAsiaTheme="majorEastAsia" w:cstheme="majorBidi"/>
      <w:color w:val="272727" w:themeColor="text1" w:themeTint="D8"/>
    </w:rPr>
  </w:style>
  <w:style w:type="paragraph" w:styleId="Title">
    <w:name w:val="Title"/>
    <w:basedOn w:val="Normal"/>
    <w:next w:val="Normal"/>
    <w:link w:val="TitleChar"/>
    <w:uiPriority w:val="10"/>
    <w:qFormat/>
    <w:rsid w:val="00B308B5"/>
    <w:pPr>
      <w:spacing w:after="80" w:line="240" w:lineRule="auto"/>
      <w:contextualSpacing/>
      <w:jc w:val="left"/>
    </w:pPr>
    <w:rPr>
      <w:rFonts w:asciiTheme="majorHAnsi" w:hAnsiTheme="majorHAnsi" w:eastAsiaTheme="majorEastAsia" w:cstheme="majorBidi"/>
      <w:color w:val="auto"/>
      <w:spacing w:val="-10"/>
      <w:kern w:val="28"/>
      <w:sz w:val="56"/>
      <w:szCs w:val="56"/>
      <w:lang w:val="en-GB"/>
      <w14:ligatures w14:val="standardContextual"/>
    </w:rPr>
  </w:style>
  <w:style w:type="character" w:styleId="TitleChar" w:customStyle="1">
    <w:name w:val="Title Char"/>
    <w:basedOn w:val="DefaultParagraphFont"/>
    <w:link w:val="Title"/>
    <w:uiPriority w:val="10"/>
    <w:rsid w:val="00B308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308B5"/>
    <w:pPr>
      <w:numPr>
        <w:ilvl w:val="1"/>
      </w:numPr>
      <w:spacing w:after="160" w:line="278" w:lineRule="auto"/>
      <w:jc w:val="left"/>
    </w:pPr>
    <w:rPr>
      <w:rFonts w:asciiTheme="minorHAnsi" w:hAnsiTheme="minorHAnsi" w:eastAsiaTheme="majorEastAsia" w:cstheme="majorBidi"/>
      <w:color w:val="595959" w:themeColor="text1" w:themeTint="A6"/>
      <w:spacing w:val="15"/>
      <w:kern w:val="2"/>
      <w:sz w:val="28"/>
      <w:szCs w:val="28"/>
      <w:lang w:val="en-GB"/>
      <w14:ligatures w14:val="standardContextual"/>
    </w:rPr>
  </w:style>
  <w:style w:type="character" w:styleId="SubtitleChar" w:customStyle="1">
    <w:name w:val="Subtitle Char"/>
    <w:basedOn w:val="DefaultParagraphFont"/>
    <w:link w:val="Subtitle"/>
    <w:uiPriority w:val="11"/>
    <w:rsid w:val="00B30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B5"/>
    <w:pPr>
      <w:spacing w:before="160" w:after="160" w:line="278" w:lineRule="auto"/>
      <w:jc w:val="center"/>
    </w:pPr>
    <w:rPr>
      <w:rFonts w:asciiTheme="minorHAnsi" w:hAnsiTheme="minorHAnsi" w:eastAsiaTheme="minorHAnsi"/>
      <w:i/>
      <w:iCs/>
      <w:color w:val="404040" w:themeColor="text1" w:themeTint="BF"/>
      <w:kern w:val="2"/>
      <w:szCs w:val="24"/>
      <w:lang w:val="en-GB"/>
      <w14:ligatures w14:val="standardContextual"/>
    </w:rPr>
  </w:style>
  <w:style w:type="character" w:styleId="QuoteChar" w:customStyle="1">
    <w:name w:val="Quote Char"/>
    <w:basedOn w:val="DefaultParagraphFont"/>
    <w:link w:val="Quote"/>
    <w:uiPriority w:val="29"/>
    <w:rsid w:val="00B308B5"/>
    <w:rPr>
      <w:i/>
      <w:iCs/>
      <w:color w:val="404040" w:themeColor="text1" w:themeTint="BF"/>
    </w:rPr>
  </w:style>
  <w:style w:type="paragraph" w:styleId="ListParagraph">
    <w:name w:val="List Paragraph"/>
    <w:basedOn w:val="Normal"/>
    <w:uiPriority w:val="34"/>
    <w:qFormat/>
    <w:rsid w:val="00B308B5"/>
    <w:pPr>
      <w:spacing w:after="160" w:line="278" w:lineRule="auto"/>
      <w:ind w:left="720"/>
      <w:contextualSpacing/>
      <w:jc w:val="left"/>
    </w:pPr>
    <w:rPr>
      <w:rFonts w:asciiTheme="minorHAnsi" w:hAnsiTheme="minorHAnsi" w:eastAsiaTheme="minorHAnsi"/>
      <w:color w:val="auto"/>
      <w:kern w:val="2"/>
      <w:szCs w:val="24"/>
      <w:lang w:val="en-GB"/>
      <w14:ligatures w14:val="standardContextual"/>
    </w:rPr>
  </w:style>
  <w:style w:type="character" w:styleId="IntenseEmphasis">
    <w:name w:val="Intense Emphasis"/>
    <w:basedOn w:val="DefaultParagraphFont"/>
    <w:uiPriority w:val="21"/>
    <w:qFormat/>
    <w:rsid w:val="00B308B5"/>
    <w:rPr>
      <w:i/>
      <w:iCs/>
      <w:color w:val="0F4761" w:themeColor="accent1" w:themeShade="BF"/>
    </w:rPr>
  </w:style>
  <w:style w:type="paragraph" w:styleId="IntenseQuote">
    <w:name w:val="Intense Quote"/>
    <w:basedOn w:val="Normal"/>
    <w:next w:val="Normal"/>
    <w:link w:val="IntenseQuoteChar"/>
    <w:uiPriority w:val="30"/>
    <w:qFormat/>
    <w:rsid w:val="00B308B5"/>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i/>
      <w:iCs/>
      <w:color w:val="0F4761" w:themeColor="accent1" w:themeShade="BF"/>
      <w:kern w:val="2"/>
      <w:szCs w:val="24"/>
      <w:lang w:val="en-GB"/>
      <w14:ligatures w14:val="standardContextual"/>
    </w:rPr>
  </w:style>
  <w:style w:type="character" w:styleId="IntenseQuoteChar" w:customStyle="1">
    <w:name w:val="Intense Quote Char"/>
    <w:basedOn w:val="DefaultParagraphFont"/>
    <w:link w:val="IntenseQuote"/>
    <w:uiPriority w:val="30"/>
    <w:rsid w:val="00B308B5"/>
    <w:rPr>
      <w:i/>
      <w:iCs/>
      <w:color w:val="0F4761" w:themeColor="accent1" w:themeShade="BF"/>
    </w:rPr>
  </w:style>
  <w:style w:type="character" w:styleId="IntenseReference">
    <w:name w:val="Intense Reference"/>
    <w:basedOn w:val="DefaultParagraphFont"/>
    <w:uiPriority w:val="32"/>
    <w:qFormat/>
    <w:rsid w:val="00B308B5"/>
    <w:rPr>
      <w:b/>
      <w:bCs/>
      <w:smallCaps/>
      <w:color w:val="0F4761" w:themeColor="accent1" w:themeShade="BF"/>
      <w:spacing w:val="5"/>
    </w:rPr>
  </w:style>
  <w:style w:type="paragraph" w:styleId="Header">
    <w:name w:val="header"/>
    <w:basedOn w:val="Normal"/>
    <w:link w:val="HeaderChar"/>
    <w:uiPriority w:val="99"/>
    <w:unhideWhenUsed/>
    <w:rsid w:val="00B308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B308B5"/>
    <w:rPr>
      <w:rFonts w:ascii="Arial" w:hAnsi="Arial" w:eastAsiaTheme="minorEastAsia"/>
      <w:color w:val="000000"/>
      <w:kern w:val="0"/>
      <w:szCs w:val="22"/>
      <w:lang w:val="en-US"/>
      <w14:ligatures w14:val="none"/>
    </w:rPr>
  </w:style>
  <w:style w:type="paragraph" w:styleId="BodyText">
    <w:name w:val="Body Text"/>
    <w:basedOn w:val="Normal"/>
    <w:link w:val="BodyTextChar"/>
    <w:uiPriority w:val="99"/>
    <w:unhideWhenUsed/>
    <w:rsid w:val="00B308B5"/>
  </w:style>
  <w:style w:type="character" w:styleId="BodyTextChar" w:customStyle="1">
    <w:name w:val="Body Text Char"/>
    <w:basedOn w:val="DefaultParagraphFont"/>
    <w:link w:val="BodyText"/>
    <w:uiPriority w:val="99"/>
    <w:rsid w:val="00B308B5"/>
    <w:rPr>
      <w:rFonts w:ascii="Arial" w:hAnsi="Arial" w:eastAsiaTheme="minorEastAsia"/>
      <w:color w:val="000000"/>
      <w:kern w:val="0"/>
      <w:szCs w:val="22"/>
      <w:lang w:val="en-US"/>
      <w14:ligatures w14:val="none"/>
    </w:rPr>
  </w:style>
  <w:style w:type="character" w:styleId="Hyperlink">
    <w:name w:val="Hyperlink"/>
    <w:basedOn w:val="DefaultParagraphFont"/>
    <w:uiPriority w:val="99"/>
    <w:unhideWhenUsed/>
    <w:rsid w:val="008C0A43"/>
    <w:rPr>
      <w:color w:val="467886" w:themeColor="hyperlink"/>
      <w:u w:val="single"/>
    </w:rPr>
  </w:style>
  <w:style w:type="character" w:styleId="UnresolvedMention">
    <w:name w:val="Unresolved Mention"/>
    <w:basedOn w:val="DefaultParagraphFont"/>
    <w:uiPriority w:val="99"/>
    <w:semiHidden/>
    <w:unhideWhenUsed/>
    <w:rsid w:val="008C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Zohaib Shahzada (student)</dc:creator>
  <keywords/>
  <dc:description/>
  <lastModifiedBy>Zohaib Shahzada (student)</lastModifiedBy>
  <revision>30</revision>
  <dcterms:created xsi:type="dcterms:W3CDTF">2026-02-28T05:02:00.0000000Z</dcterms:created>
  <dcterms:modified xsi:type="dcterms:W3CDTF">2026-03-04T22:23:40.0961188Z</dcterms:modified>
</coreProperties>
</file>