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E49370" w14:textId="77777777" w:rsidR="00E71C2E" w:rsidRDefault="00E71C2E">
      <w:pPr>
        <w:rPr>
          <w:b/>
          <w:bCs/>
        </w:rPr>
      </w:pPr>
      <w:r>
        <w:t xml:space="preserve">SOFP shows </w:t>
      </w:r>
      <w:r w:rsidRPr="00E71C2E">
        <w:t xml:space="preserve">Total Assets = Total Liabilities + Owner’s Equity.  This is known as The </w:t>
      </w:r>
      <w:r w:rsidRPr="00E71C2E">
        <w:rPr>
          <w:b/>
          <w:bCs/>
        </w:rPr>
        <w:t>Accounting Equation</w:t>
      </w:r>
      <w:r>
        <w:rPr>
          <w:b/>
          <w:bCs/>
        </w:rPr>
        <w:t xml:space="preserve"> </w:t>
      </w:r>
    </w:p>
    <w:p w14:paraId="268753D8" w14:textId="77777777" w:rsidR="00E71C2E" w:rsidRDefault="00E71C2E">
      <w:pPr>
        <w:rPr>
          <w:b/>
          <w:bCs/>
        </w:rPr>
      </w:pPr>
    </w:p>
    <w:p w14:paraId="3B31E1E3" w14:textId="23F91AD6" w:rsidR="00E71C2E" w:rsidRDefault="00E71C2E">
      <w:pPr>
        <w:rPr>
          <w:b/>
          <w:bCs/>
        </w:rPr>
      </w:pPr>
      <w:r w:rsidRPr="00E71C2E">
        <w:rPr>
          <w:b/>
          <w:bCs/>
        </w:rPr>
        <w:t>Total Assets = Total Liabilities + Owner’s Equity</w:t>
      </w:r>
      <w:r>
        <w:rPr>
          <w:b/>
          <w:bCs/>
        </w:rPr>
        <w:t>/ Capital</w:t>
      </w:r>
      <w:r w:rsidRPr="00E71C2E">
        <w:rPr>
          <w:b/>
          <w:bCs/>
        </w:rPr>
        <w:t xml:space="preserve">.  </w:t>
      </w:r>
    </w:p>
    <w:p w14:paraId="1899BC35" w14:textId="77777777" w:rsidR="00E71C2E" w:rsidRDefault="00E71C2E">
      <w:pPr>
        <w:rPr>
          <w:b/>
          <w:bCs/>
        </w:rPr>
      </w:pPr>
    </w:p>
    <w:p w14:paraId="7D215DB6" w14:textId="03B38248" w:rsidR="00E356B4" w:rsidRDefault="00E71C2E">
      <w:pPr>
        <w:rPr>
          <w:b/>
          <w:bCs/>
        </w:rPr>
      </w:pPr>
      <w:r w:rsidRPr="00E71C2E">
        <w:rPr>
          <w:b/>
          <w:bCs/>
        </w:rPr>
        <w:t>This is known as The Accounting Equation</w:t>
      </w:r>
    </w:p>
    <w:p w14:paraId="15BD9067" w14:textId="77777777" w:rsidR="00E71C2E" w:rsidRDefault="00E71C2E">
      <w:pPr>
        <w:rPr>
          <w:b/>
          <w:bCs/>
        </w:rPr>
      </w:pPr>
    </w:p>
    <w:p w14:paraId="1848B978" w14:textId="2E2700EC" w:rsidR="00E71C2E" w:rsidRDefault="00E71C2E">
      <w:r>
        <w:t>From the above, i</w:t>
      </w:r>
      <w:r w:rsidRPr="00E71C2E">
        <w:t>t also follows, therefore, that Owner’s Equity</w:t>
      </w:r>
      <w:r>
        <w:t>/ Capital</w:t>
      </w:r>
      <w:r w:rsidRPr="00E71C2E">
        <w:t xml:space="preserve"> = Total Assets – Total Liabilities.  This is known as the </w:t>
      </w:r>
      <w:r w:rsidRPr="00E71C2E">
        <w:rPr>
          <w:b/>
          <w:bCs/>
        </w:rPr>
        <w:t xml:space="preserve">book value </w:t>
      </w:r>
      <w:r w:rsidRPr="00E71C2E">
        <w:t>of the business</w:t>
      </w:r>
      <w:r>
        <w:t>.</w:t>
      </w:r>
    </w:p>
    <w:p w14:paraId="609C4A7B" w14:textId="77777777" w:rsidR="00E71C2E" w:rsidRDefault="00E71C2E"/>
    <w:p w14:paraId="0DA00731" w14:textId="30A83F9D" w:rsidR="00E71C2E" w:rsidRDefault="00E71C2E">
      <w:r>
        <w:t xml:space="preserve">Typically </w:t>
      </w:r>
      <w:proofErr w:type="gramStart"/>
      <w:r>
        <w:t>however;</w:t>
      </w:r>
      <w:proofErr w:type="gramEnd"/>
    </w:p>
    <w:p w14:paraId="48FCBD27" w14:textId="77777777" w:rsidR="00E71C2E" w:rsidRDefault="00E71C2E"/>
    <w:p w14:paraId="1DBF0A1C" w14:textId="7ABD39ED" w:rsidR="00E71C2E" w:rsidRDefault="00E71C2E">
      <w:r w:rsidRPr="00325E22">
        <w:rPr>
          <w:b/>
          <w:bCs/>
        </w:rPr>
        <w:t>Total Assets</w:t>
      </w:r>
      <w:r>
        <w:t xml:space="preserve"> can be broken down into</w:t>
      </w:r>
    </w:p>
    <w:p w14:paraId="1A8A5DC0" w14:textId="77777777" w:rsidR="00325E22" w:rsidRPr="00CE25A7" w:rsidRDefault="00E71C2E" w:rsidP="00E71C2E">
      <w:pPr>
        <w:ind w:left="1440"/>
        <w:rPr>
          <w:b/>
          <w:bCs/>
        </w:rPr>
      </w:pPr>
      <w:r w:rsidRPr="00CE25A7">
        <w:rPr>
          <w:b/>
          <w:bCs/>
        </w:rPr>
        <w:t>Non- current assets</w:t>
      </w:r>
      <w:r w:rsidR="00325E22" w:rsidRPr="00CE25A7">
        <w:rPr>
          <w:b/>
          <w:bCs/>
        </w:rPr>
        <w:t xml:space="preserve"> </w:t>
      </w:r>
    </w:p>
    <w:p w14:paraId="4578ED6E" w14:textId="41314755" w:rsidR="00E71C2E" w:rsidRPr="00325E22" w:rsidRDefault="00325E22" w:rsidP="00E71C2E">
      <w:pPr>
        <w:ind w:left="1440"/>
        <w:rPr>
          <w:i/>
          <w:iCs/>
        </w:rPr>
      </w:pPr>
      <w:r w:rsidRPr="00325E22">
        <w:rPr>
          <w:i/>
          <w:iCs/>
        </w:rPr>
        <w:t>(available for use in more than one accounting period/ benefits more than one accounting year)</w:t>
      </w:r>
    </w:p>
    <w:p w14:paraId="22829379" w14:textId="2C3070FC" w:rsidR="00E71C2E" w:rsidRDefault="00E71C2E" w:rsidP="00E71C2E">
      <w:pPr>
        <w:pStyle w:val="ListParagraph"/>
        <w:numPr>
          <w:ilvl w:val="0"/>
          <w:numId w:val="1"/>
        </w:numPr>
      </w:pPr>
      <w:r>
        <w:t>Tangible – like PPE, land &amp; buildings, motor vehicles</w:t>
      </w:r>
    </w:p>
    <w:p w14:paraId="043CCF60" w14:textId="1CA4A4B2" w:rsidR="00E71C2E" w:rsidRDefault="00E71C2E" w:rsidP="00E71C2E">
      <w:pPr>
        <w:pStyle w:val="ListParagraph"/>
        <w:numPr>
          <w:ilvl w:val="0"/>
          <w:numId w:val="1"/>
        </w:numPr>
      </w:pPr>
      <w:r>
        <w:t>Intangible – such as Copyrights, Patents or Goodwill</w:t>
      </w:r>
    </w:p>
    <w:p w14:paraId="071DE0C5" w14:textId="1A65B02D" w:rsidR="00E71C2E" w:rsidRPr="00CE25A7" w:rsidRDefault="00E71C2E" w:rsidP="00E71C2E">
      <w:pPr>
        <w:ind w:left="1440"/>
        <w:rPr>
          <w:b/>
          <w:bCs/>
        </w:rPr>
      </w:pPr>
      <w:r w:rsidRPr="00CE25A7">
        <w:rPr>
          <w:b/>
          <w:bCs/>
        </w:rPr>
        <w:t>Current assets</w:t>
      </w:r>
    </w:p>
    <w:p w14:paraId="02543224" w14:textId="1FDAE7AD" w:rsidR="00325E22" w:rsidRDefault="00325E22" w:rsidP="00E71C2E">
      <w:pPr>
        <w:ind w:left="1440"/>
      </w:pPr>
      <w:r>
        <w:t>(are exhausted or change within the accounting period/ year)</w:t>
      </w:r>
    </w:p>
    <w:p w14:paraId="468B6D8C" w14:textId="77777777" w:rsidR="00325E22" w:rsidRDefault="00E71C2E" w:rsidP="00E71C2E">
      <w:pPr>
        <w:pStyle w:val="ListParagraph"/>
        <w:numPr>
          <w:ilvl w:val="0"/>
          <w:numId w:val="3"/>
        </w:numPr>
      </w:pPr>
      <w:r>
        <w:t xml:space="preserve">Stock/ inventory – can </w:t>
      </w:r>
      <w:proofErr w:type="gramStart"/>
      <w:r>
        <w:t>be</w:t>
      </w:r>
      <w:proofErr w:type="gramEnd"/>
      <w:r>
        <w:t xml:space="preserve"> </w:t>
      </w:r>
    </w:p>
    <w:p w14:paraId="40CD9421" w14:textId="7D6509AC" w:rsidR="00325E22" w:rsidRDefault="00E71C2E" w:rsidP="00325E22">
      <w:pPr>
        <w:pStyle w:val="ListParagraph"/>
        <w:numPr>
          <w:ilvl w:val="1"/>
          <w:numId w:val="3"/>
        </w:numPr>
      </w:pPr>
      <w:r>
        <w:t>finished goods</w:t>
      </w:r>
      <w:r w:rsidR="00325E22">
        <w:t xml:space="preserve"> (ready for sale – say bread, pies)</w:t>
      </w:r>
    </w:p>
    <w:p w14:paraId="36A57E80" w14:textId="2215FE68" w:rsidR="00E71C2E" w:rsidRDefault="00E71C2E" w:rsidP="00325E22">
      <w:pPr>
        <w:pStyle w:val="ListParagraph"/>
        <w:numPr>
          <w:ilvl w:val="1"/>
          <w:numId w:val="3"/>
        </w:numPr>
      </w:pPr>
      <w:r>
        <w:t>work-in-progress (in a manufacturing company – for example dough in a bread-making factory), or</w:t>
      </w:r>
    </w:p>
    <w:p w14:paraId="7C359522" w14:textId="596BD405" w:rsidR="00325E22" w:rsidRDefault="00325E22" w:rsidP="00325E22">
      <w:pPr>
        <w:pStyle w:val="ListParagraph"/>
        <w:numPr>
          <w:ilvl w:val="1"/>
          <w:numId w:val="3"/>
        </w:numPr>
      </w:pPr>
      <w:r>
        <w:t>raw materials (say flour, sugar)</w:t>
      </w:r>
    </w:p>
    <w:p w14:paraId="2F1A777F" w14:textId="08AA2346" w:rsidR="00325E22" w:rsidRDefault="00325E22" w:rsidP="00325E22">
      <w:pPr>
        <w:pStyle w:val="ListParagraph"/>
        <w:numPr>
          <w:ilvl w:val="0"/>
          <w:numId w:val="3"/>
        </w:numPr>
      </w:pPr>
      <w:r>
        <w:t>Debtors/ accounts receivables (may be less provisions for doubtful debts/ bad debts)</w:t>
      </w:r>
    </w:p>
    <w:p w14:paraId="6CE021A7" w14:textId="129B2274" w:rsidR="00325E22" w:rsidRDefault="00325E22" w:rsidP="00325E22">
      <w:pPr>
        <w:pStyle w:val="ListParagraph"/>
        <w:numPr>
          <w:ilvl w:val="0"/>
          <w:numId w:val="3"/>
        </w:numPr>
      </w:pPr>
      <w:r>
        <w:t>Bank</w:t>
      </w:r>
    </w:p>
    <w:p w14:paraId="267078E2" w14:textId="77777777" w:rsidR="00325E22" w:rsidRPr="00CE25A7" w:rsidRDefault="00325E22" w:rsidP="00CE25A7">
      <w:pPr>
        <w:pStyle w:val="ListParagraph"/>
        <w:numPr>
          <w:ilvl w:val="0"/>
          <w:numId w:val="3"/>
        </w:numPr>
      </w:pPr>
      <w:r>
        <w:t xml:space="preserve">Cash (the two can be also known as cash and cash equivalents – cash equivalents </w:t>
      </w:r>
      <w:proofErr w:type="gramStart"/>
      <w:r>
        <w:t>are;</w:t>
      </w:r>
      <w:proofErr w:type="gramEnd"/>
      <w:r w:rsidRPr="00CE25A7">
        <w:t xml:space="preserve"> </w:t>
      </w:r>
    </w:p>
    <w:p w14:paraId="14E40D82" w14:textId="692AB50C" w:rsidR="00325E22" w:rsidRPr="00CE25A7" w:rsidRDefault="00325E22" w:rsidP="00325E22">
      <w:pPr>
        <w:pStyle w:val="trt0xe"/>
        <w:numPr>
          <w:ilvl w:val="2"/>
          <w:numId w:val="4"/>
        </w:numPr>
        <w:shd w:val="clear" w:color="auto" w:fill="FFFFFF"/>
        <w:spacing w:before="0" w:beforeAutospacing="0" w:after="60" w:afterAutospacing="0"/>
        <w:rPr>
          <w:rFonts w:asciiTheme="minorHAnsi" w:hAnsiTheme="minorHAnsi" w:cstheme="minorHAnsi"/>
          <w:color w:val="202124"/>
          <w:sz w:val="20"/>
          <w:szCs w:val="20"/>
        </w:rPr>
      </w:pPr>
      <w:r w:rsidRPr="00CE25A7">
        <w:rPr>
          <w:rFonts w:asciiTheme="minorHAnsi" w:hAnsiTheme="minorHAnsi" w:cstheme="minorHAnsi"/>
          <w:color w:val="202124"/>
          <w:sz w:val="20"/>
          <w:szCs w:val="20"/>
        </w:rPr>
        <w:t>Treasury bills.</w:t>
      </w:r>
    </w:p>
    <w:p w14:paraId="0BE6F74A" w14:textId="77777777" w:rsidR="00325E22" w:rsidRPr="00CE25A7" w:rsidRDefault="00325E22" w:rsidP="00325E22">
      <w:pPr>
        <w:pStyle w:val="trt0xe"/>
        <w:numPr>
          <w:ilvl w:val="2"/>
          <w:numId w:val="4"/>
        </w:numPr>
        <w:shd w:val="clear" w:color="auto" w:fill="FFFFFF"/>
        <w:spacing w:before="0" w:beforeAutospacing="0" w:after="60" w:afterAutospacing="0"/>
        <w:rPr>
          <w:rFonts w:asciiTheme="minorHAnsi" w:hAnsiTheme="minorHAnsi" w:cstheme="minorHAnsi"/>
          <w:color w:val="202124"/>
          <w:sz w:val="20"/>
          <w:szCs w:val="20"/>
        </w:rPr>
      </w:pPr>
      <w:r w:rsidRPr="00CE25A7">
        <w:rPr>
          <w:rFonts w:asciiTheme="minorHAnsi" w:hAnsiTheme="minorHAnsi" w:cstheme="minorHAnsi"/>
          <w:color w:val="202124"/>
          <w:sz w:val="20"/>
          <w:szCs w:val="20"/>
        </w:rPr>
        <w:t>Treasury notes.</w:t>
      </w:r>
    </w:p>
    <w:p w14:paraId="36A99B2A" w14:textId="77777777" w:rsidR="00325E22" w:rsidRPr="00CE25A7" w:rsidRDefault="00325E22" w:rsidP="00325E22">
      <w:pPr>
        <w:pStyle w:val="trt0xe"/>
        <w:numPr>
          <w:ilvl w:val="2"/>
          <w:numId w:val="4"/>
        </w:numPr>
        <w:shd w:val="clear" w:color="auto" w:fill="FFFFFF"/>
        <w:spacing w:before="0" w:beforeAutospacing="0" w:after="60" w:afterAutospacing="0"/>
        <w:rPr>
          <w:rFonts w:asciiTheme="minorHAnsi" w:hAnsiTheme="minorHAnsi" w:cstheme="minorHAnsi"/>
          <w:color w:val="202124"/>
          <w:sz w:val="20"/>
          <w:szCs w:val="20"/>
        </w:rPr>
      </w:pPr>
      <w:r w:rsidRPr="00CE25A7">
        <w:rPr>
          <w:rFonts w:asciiTheme="minorHAnsi" w:hAnsiTheme="minorHAnsi" w:cstheme="minorHAnsi"/>
          <w:color w:val="202124"/>
          <w:sz w:val="20"/>
          <w:szCs w:val="20"/>
        </w:rPr>
        <w:t>Commercial paper.</w:t>
      </w:r>
    </w:p>
    <w:p w14:paraId="23B26676" w14:textId="77777777" w:rsidR="00325E22" w:rsidRPr="00CE25A7" w:rsidRDefault="00325E22" w:rsidP="00325E22">
      <w:pPr>
        <w:pStyle w:val="trt0xe"/>
        <w:numPr>
          <w:ilvl w:val="2"/>
          <w:numId w:val="4"/>
        </w:numPr>
        <w:shd w:val="clear" w:color="auto" w:fill="FFFFFF"/>
        <w:spacing w:before="0" w:beforeAutospacing="0" w:after="60" w:afterAutospacing="0"/>
        <w:rPr>
          <w:rFonts w:asciiTheme="minorHAnsi" w:hAnsiTheme="minorHAnsi" w:cstheme="minorHAnsi"/>
          <w:color w:val="202124"/>
          <w:sz w:val="20"/>
          <w:szCs w:val="20"/>
        </w:rPr>
      </w:pPr>
      <w:r w:rsidRPr="00CE25A7">
        <w:rPr>
          <w:rFonts w:asciiTheme="minorHAnsi" w:hAnsiTheme="minorHAnsi" w:cstheme="minorHAnsi"/>
          <w:color w:val="202124"/>
          <w:sz w:val="20"/>
          <w:szCs w:val="20"/>
        </w:rPr>
        <w:t>Certificates of deposit.</w:t>
      </w:r>
    </w:p>
    <w:p w14:paraId="0E118C4B" w14:textId="77777777" w:rsidR="00325E22" w:rsidRPr="00CE25A7" w:rsidRDefault="00325E22" w:rsidP="00325E22">
      <w:pPr>
        <w:pStyle w:val="trt0xe"/>
        <w:numPr>
          <w:ilvl w:val="2"/>
          <w:numId w:val="4"/>
        </w:numPr>
        <w:shd w:val="clear" w:color="auto" w:fill="FFFFFF"/>
        <w:spacing w:before="0" w:beforeAutospacing="0" w:after="60" w:afterAutospacing="0"/>
        <w:rPr>
          <w:rFonts w:asciiTheme="minorHAnsi" w:hAnsiTheme="minorHAnsi" w:cstheme="minorHAnsi"/>
          <w:color w:val="202124"/>
          <w:sz w:val="20"/>
          <w:szCs w:val="20"/>
        </w:rPr>
      </w:pPr>
      <w:r w:rsidRPr="00CE25A7">
        <w:rPr>
          <w:rFonts w:asciiTheme="minorHAnsi" w:hAnsiTheme="minorHAnsi" w:cstheme="minorHAnsi"/>
          <w:color w:val="202124"/>
          <w:sz w:val="20"/>
          <w:szCs w:val="20"/>
        </w:rPr>
        <w:t>Money market funds.</w:t>
      </w:r>
    </w:p>
    <w:p w14:paraId="6D76D94F" w14:textId="015179A7" w:rsidR="00325E22" w:rsidRDefault="00325E22" w:rsidP="00325E22">
      <w:pPr>
        <w:pStyle w:val="ListParagraph"/>
        <w:numPr>
          <w:ilvl w:val="0"/>
          <w:numId w:val="3"/>
        </w:numPr>
      </w:pPr>
      <w:r>
        <w:t>Prepayments (amounts paid in advance such as rentals paid</w:t>
      </w:r>
      <w:r w:rsidR="00CE25A7">
        <w:t xml:space="preserve"> in advance</w:t>
      </w:r>
      <w:r>
        <w:t xml:space="preserve"> to a landlord for a factory/ commercial building – they give a legal right to occupancy -</w:t>
      </w:r>
    </w:p>
    <w:p w14:paraId="195D458D" w14:textId="77777777" w:rsidR="00E71C2E" w:rsidRDefault="00E71C2E"/>
    <w:p w14:paraId="3FADD7D3" w14:textId="6FC8350B" w:rsidR="00E71C2E" w:rsidRDefault="00325E22">
      <w:r w:rsidRPr="00CE25A7">
        <w:rPr>
          <w:b/>
          <w:bCs/>
        </w:rPr>
        <w:lastRenderedPageBreak/>
        <w:t>Total liabilities</w:t>
      </w:r>
      <w:r>
        <w:t xml:space="preserve"> can also be broken down into</w:t>
      </w:r>
    </w:p>
    <w:p w14:paraId="352EDE07" w14:textId="77777777" w:rsidR="00CE25A7" w:rsidRPr="00CE25A7" w:rsidRDefault="00325E22" w:rsidP="00325E22">
      <w:pPr>
        <w:ind w:left="720"/>
        <w:rPr>
          <w:b/>
          <w:bCs/>
        </w:rPr>
      </w:pPr>
      <w:r w:rsidRPr="00CE25A7">
        <w:rPr>
          <w:b/>
          <w:bCs/>
        </w:rPr>
        <w:t>Non-current liabilities</w:t>
      </w:r>
    </w:p>
    <w:p w14:paraId="37246651" w14:textId="50542EE3" w:rsidR="00325E22" w:rsidRDefault="00CE25A7" w:rsidP="00325E22">
      <w:pPr>
        <w:ind w:left="720"/>
      </w:pPr>
      <w:r>
        <w:t xml:space="preserve"> (to be paid off in more than one accounting period/ over more than one year - for example a 5-year loan, Debentures,</w:t>
      </w:r>
      <w:r w:rsidR="00F96FBA">
        <w:t xml:space="preserve"> long-term bank overdrafts or some such financing facilities arranged for more than one period,</w:t>
      </w:r>
      <w:r>
        <w:t xml:space="preserve"> deferred tax (this can also be an asset), long-term creditors, lease liabilities _ the </w:t>
      </w:r>
      <w:proofErr w:type="gramStart"/>
      <w:r>
        <w:t>long term</w:t>
      </w:r>
      <w:proofErr w:type="gramEnd"/>
      <w:r>
        <w:t xml:space="preserve"> portion)</w:t>
      </w:r>
    </w:p>
    <w:p w14:paraId="0F1D8484" w14:textId="222C42A1" w:rsidR="00CE25A7" w:rsidRPr="00CE25A7" w:rsidRDefault="00CE25A7" w:rsidP="00325E22">
      <w:pPr>
        <w:ind w:left="720"/>
        <w:rPr>
          <w:b/>
          <w:bCs/>
        </w:rPr>
      </w:pPr>
      <w:r w:rsidRPr="00CE25A7">
        <w:rPr>
          <w:b/>
          <w:bCs/>
        </w:rPr>
        <w:t>Current liabilities</w:t>
      </w:r>
    </w:p>
    <w:p w14:paraId="3218A378" w14:textId="33FDA5C6" w:rsidR="00CE25A7" w:rsidRDefault="00CE25A7" w:rsidP="00325E22">
      <w:pPr>
        <w:ind w:left="720"/>
      </w:pPr>
      <w:r>
        <w:t xml:space="preserve">(fluctuate or are to be paid off within the accounting period/ year – such as the </w:t>
      </w:r>
      <w:proofErr w:type="gramStart"/>
      <w:r>
        <w:t>short term</w:t>
      </w:r>
      <w:proofErr w:type="gramEnd"/>
      <w:r>
        <w:t xml:space="preserve"> portion of leases, </w:t>
      </w:r>
      <w:r w:rsidR="00F96FBA">
        <w:t xml:space="preserve">short-term bank overdrafts, </w:t>
      </w:r>
      <w:r>
        <w:t>accounts payables/ creditor (short term), accrual (expenses unpaid at the end of the accounting period), taxes due in the accounting period</w:t>
      </w:r>
    </w:p>
    <w:p w14:paraId="2C1942B8" w14:textId="77777777" w:rsidR="00A41781" w:rsidRDefault="00A41781"/>
    <w:p w14:paraId="7501F946" w14:textId="3A9CCAB5" w:rsidR="00325E22" w:rsidRDefault="00CE25A7">
      <w:proofErr w:type="spellStart"/>
      <w:proofErr w:type="gramStart"/>
      <w:r>
        <w:t>Owners</w:t>
      </w:r>
      <w:proofErr w:type="spellEnd"/>
      <w:proofErr w:type="gramEnd"/>
      <w:r>
        <w:t xml:space="preserve"> equity/ capital</w:t>
      </w:r>
      <w:r w:rsidR="00A41781">
        <w:t xml:space="preserve"> can be broken down into</w:t>
      </w:r>
    </w:p>
    <w:p w14:paraId="4227EB9F" w14:textId="58459C08" w:rsidR="00A41781" w:rsidRDefault="00A41781" w:rsidP="00A41781">
      <w:pPr>
        <w:pStyle w:val="ListParagraph"/>
        <w:numPr>
          <w:ilvl w:val="0"/>
          <w:numId w:val="3"/>
        </w:numPr>
      </w:pPr>
      <w:r w:rsidRPr="002B22F4">
        <w:rPr>
          <w:b/>
          <w:bCs/>
        </w:rPr>
        <w:t>Ordinary share capital</w:t>
      </w:r>
      <w:r>
        <w:t xml:space="preserve"> (the owners of the company who are allowed to vote at Annual General Meetings (AGMs) of the company)</w:t>
      </w:r>
    </w:p>
    <w:p w14:paraId="58A0FFAD" w14:textId="60E5D049" w:rsidR="00A41781" w:rsidRDefault="00A41781" w:rsidP="00A41781">
      <w:pPr>
        <w:pStyle w:val="ListParagraph"/>
        <w:numPr>
          <w:ilvl w:val="0"/>
          <w:numId w:val="3"/>
        </w:numPr>
      </w:pPr>
      <w:r w:rsidRPr="002B22F4">
        <w:rPr>
          <w:b/>
          <w:bCs/>
        </w:rPr>
        <w:t>Preference share capital</w:t>
      </w:r>
      <w:r>
        <w:t xml:space="preserve"> (usually not allowed to vote at Annual General Meetings) – they receive a stated % of dividend BEFORE ordinary shareholders can be paid any dividend – hence the “</w:t>
      </w:r>
      <w:proofErr w:type="gramStart"/>
      <w:r>
        <w:t>preference”</w:t>
      </w:r>
      <w:proofErr w:type="gramEnd"/>
    </w:p>
    <w:p w14:paraId="1CE7BD2A" w14:textId="1740856C" w:rsidR="00A41781" w:rsidRDefault="00A41781" w:rsidP="00A41781">
      <w:pPr>
        <w:pStyle w:val="ListParagraph"/>
        <w:numPr>
          <w:ilvl w:val="1"/>
          <w:numId w:val="3"/>
        </w:numPr>
      </w:pPr>
      <w:r>
        <w:t xml:space="preserve">Cumulative – any unpaid dividend in any one period accumulates and must be paid in the next accounting </w:t>
      </w:r>
      <w:proofErr w:type="gramStart"/>
      <w:r>
        <w:t>period</w:t>
      </w:r>
      <w:proofErr w:type="gramEnd"/>
    </w:p>
    <w:p w14:paraId="5F1F66DD" w14:textId="51CAC8D3" w:rsidR="00A41781" w:rsidRDefault="00A41781" w:rsidP="00A41781">
      <w:pPr>
        <w:pStyle w:val="ListParagraph"/>
        <w:numPr>
          <w:ilvl w:val="1"/>
          <w:numId w:val="3"/>
        </w:numPr>
      </w:pPr>
      <w:r>
        <w:t>Non-cumulative – usually has a % of the preference dividend but does not accumulate if unpaid for some reason (the shareholders can exercise other remedies if they</w:t>
      </w:r>
      <w:r w:rsidR="002B22F4">
        <w:t xml:space="preserve"> are unhappy with non-payment of the dividend)</w:t>
      </w:r>
    </w:p>
    <w:p w14:paraId="39583A8F" w14:textId="711E8E2C" w:rsidR="002B22F4" w:rsidRDefault="002B22F4" w:rsidP="002B22F4">
      <w:pPr>
        <w:pStyle w:val="ListParagraph"/>
        <w:numPr>
          <w:ilvl w:val="0"/>
          <w:numId w:val="3"/>
        </w:numPr>
      </w:pPr>
      <w:r w:rsidRPr="002B22F4">
        <w:rPr>
          <w:b/>
          <w:bCs/>
        </w:rPr>
        <w:t>Share Premium</w:t>
      </w:r>
      <w:r>
        <w:t xml:space="preserve"> – these amounts belong to the shareholders and arise when more than the nominal (face) value of the share is paid at an Initial Public Offering (IPO) of the shares or other share issue </w:t>
      </w:r>
      <w:proofErr w:type="gramStart"/>
      <w:r>
        <w:t>event</w:t>
      </w:r>
      <w:proofErr w:type="gramEnd"/>
    </w:p>
    <w:p w14:paraId="29625289" w14:textId="5DA0BF66" w:rsidR="002B22F4" w:rsidRDefault="002B22F4" w:rsidP="002B22F4">
      <w:pPr>
        <w:pStyle w:val="ListParagraph"/>
        <w:numPr>
          <w:ilvl w:val="0"/>
          <w:numId w:val="3"/>
        </w:numPr>
      </w:pPr>
      <w:r w:rsidRPr="002B22F4">
        <w:rPr>
          <w:b/>
          <w:bCs/>
        </w:rPr>
        <w:t>Reserves</w:t>
      </w:r>
      <w:r>
        <w:t xml:space="preserve"> (can be broken down into)</w:t>
      </w:r>
    </w:p>
    <w:p w14:paraId="526A56D6" w14:textId="25EF8E74" w:rsidR="002B22F4" w:rsidRDefault="002B22F4" w:rsidP="002B22F4">
      <w:pPr>
        <w:pStyle w:val="ListParagraph"/>
        <w:numPr>
          <w:ilvl w:val="1"/>
          <w:numId w:val="3"/>
        </w:numPr>
      </w:pPr>
      <w:r w:rsidRPr="002B22F4">
        <w:rPr>
          <w:b/>
          <w:bCs/>
        </w:rPr>
        <w:t>Distributable reserves</w:t>
      </w:r>
      <w:r>
        <w:t xml:space="preserve"> – (dividends can be paid/ distributed out of these) - such as Retained Earnings/ retained profits or General Reserves (might be money set aside for a specific process / project– and can be moved back to retained earnings and used to pay a dividend)</w:t>
      </w:r>
    </w:p>
    <w:p w14:paraId="3B05A4C1" w14:textId="2DA0C8A8" w:rsidR="002B22F4" w:rsidRDefault="002B22F4" w:rsidP="002B22F4">
      <w:pPr>
        <w:pStyle w:val="ListParagraph"/>
        <w:numPr>
          <w:ilvl w:val="1"/>
          <w:numId w:val="3"/>
        </w:numPr>
      </w:pPr>
      <w:r>
        <w:rPr>
          <w:b/>
          <w:bCs/>
        </w:rPr>
        <w:t>Non</w:t>
      </w:r>
      <w:r w:rsidRPr="002B22F4">
        <w:t>-</w:t>
      </w:r>
      <w:r>
        <w:t>distributable reserves (no dividend may/can be paid out of these reserves) – such as a Revaluation Reserve (</w:t>
      </w:r>
      <w:r w:rsidRPr="005C625A">
        <w:rPr>
          <w:color w:val="FF0000"/>
        </w:rPr>
        <w:t>see below</w:t>
      </w:r>
      <w:r w:rsidR="005C625A">
        <w:rPr>
          <w:color w:val="FF0000"/>
        </w:rPr>
        <w:t xml:space="preserve"> #</w:t>
      </w:r>
      <w:r>
        <w:t>), or a special legal rese</w:t>
      </w:r>
      <w:r w:rsidR="005C625A">
        <w:t>rve such as a Capital Redemption Reserve Fund – may be used by a company (when authorised at law) to buy back its own shares)</w:t>
      </w:r>
    </w:p>
    <w:p w14:paraId="4ECB7AEE" w14:textId="648D3206" w:rsidR="005C625A" w:rsidRDefault="005C625A" w:rsidP="005C625A">
      <w:pPr>
        <w:pStyle w:val="ListParagraph"/>
        <w:numPr>
          <w:ilvl w:val="0"/>
          <w:numId w:val="3"/>
        </w:numPr>
        <w:rPr>
          <w:i/>
          <w:iCs/>
        </w:rPr>
      </w:pPr>
      <w:r w:rsidRPr="005C625A">
        <w:rPr>
          <w:i/>
          <w:iCs/>
        </w:rPr>
        <w:t xml:space="preserve">For group companies only the Non-Controlling Interest (NCI) forms part of the owners’ equity. NCI are minority </w:t>
      </w:r>
      <w:proofErr w:type="gramStart"/>
      <w:r w:rsidRPr="005C625A">
        <w:rPr>
          <w:i/>
          <w:iCs/>
        </w:rPr>
        <w:t>shareholders</w:t>
      </w:r>
      <w:proofErr w:type="gramEnd"/>
    </w:p>
    <w:p w14:paraId="70DDCEC7" w14:textId="77777777" w:rsidR="005C625A" w:rsidRDefault="005C625A" w:rsidP="005C625A">
      <w:pPr>
        <w:rPr>
          <w:i/>
          <w:iCs/>
        </w:rPr>
      </w:pPr>
    </w:p>
    <w:p w14:paraId="0A1E0636" w14:textId="1FDB7913" w:rsidR="005C625A" w:rsidRDefault="005C625A" w:rsidP="005C625A">
      <w:pPr>
        <w:rPr>
          <w:i/>
          <w:iCs/>
        </w:rPr>
      </w:pPr>
      <w:r>
        <w:rPr>
          <w:i/>
          <w:iCs/>
        </w:rPr>
        <w:t># So, when a company opts for the Revaluation model to account for PPE (non-current assets) the entry is</w:t>
      </w:r>
    </w:p>
    <w:p w14:paraId="71BFFD3D" w14:textId="77777777" w:rsidR="005C625A" w:rsidRDefault="005C625A" w:rsidP="005C625A">
      <w:pPr>
        <w:rPr>
          <w:i/>
          <w:iCs/>
        </w:rPr>
      </w:pPr>
      <w:r>
        <w:rPr>
          <w:i/>
          <w:iCs/>
        </w:rPr>
        <w:t xml:space="preserve">Debit the Asset </w:t>
      </w:r>
    </w:p>
    <w:p w14:paraId="1277E92C" w14:textId="5426DB82" w:rsidR="005C625A" w:rsidRDefault="005C625A" w:rsidP="005C625A">
      <w:pPr>
        <w:rPr>
          <w:i/>
          <w:iCs/>
        </w:rPr>
      </w:pPr>
      <w:r>
        <w:rPr>
          <w:i/>
          <w:iCs/>
        </w:rPr>
        <w:lastRenderedPageBreak/>
        <w:t>(to increase it to “market value” (this might be opposite in another period i.e. a credit of the asset if the market falls)</w:t>
      </w:r>
    </w:p>
    <w:p w14:paraId="0AF926A3" w14:textId="3B84281F" w:rsidR="005C625A" w:rsidRDefault="005C625A" w:rsidP="005C625A">
      <w:pPr>
        <w:rPr>
          <w:i/>
          <w:iCs/>
        </w:rPr>
      </w:pPr>
      <w:r>
        <w:rPr>
          <w:i/>
          <w:iCs/>
        </w:rPr>
        <w:t>Credit the Revaluation Reserve</w:t>
      </w:r>
    </w:p>
    <w:p w14:paraId="2EFE51B2" w14:textId="1A2D61F3" w:rsidR="005C625A" w:rsidRDefault="005C625A" w:rsidP="005C625A">
      <w:pPr>
        <w:rPr>
          <w:i/>
          <w:iCs/>
        </w:rPr>
      </w:pPr>
      <w:r>
        <w:rPr>
          <w:i/>
          <w:iCs/>
        </w:rPr>
        <w:t>(</w:t>
      </w:r>
      <w:proofErr w:type="gramStart"/>
      <w:r>
        <w:rPr>
          <w:i/>
          <w:iCs/>
        </w:rPr>
        <w:t>to</w:t>
      </w:r>
      <w:proofErr w:type="gramEnd"/>
      <w:r>
        <w:rPr>
          <w:i/>
          <w:iCs/>
        </w:rPr>
        <w:t xml:space="preserve"> increase the </w:t>
      </w:r>
      <w:proofErr w:type="spellStart"/>
      <w:r>
        <w:rPr>
          <w:i/>
          <w:iCs/>
        </w:rPr>
        <w:t>owners</w:t>
      </w:r>
      <w:proofErr w:type="spellEnd"/>
      <w:r>
        <w:rPr>
          <w:i/>
          <w:iCs/>
        </w:rPr>
        <w:t xml:space="preserve"> equity – but since the non-current assets are not meant to be sold within the accounting period – this reserve is not</w:t>
      </w:r>
      <w:r w:rsidR="001D1B21">
        <w:rPr>
          <w:i/>
          <w:iCs/>
        </w:rPr>
        <w:t xml:space="preserve"> available for distribution as a dividend as not money has come into the business.</w:t>
      </w:r>
    </w:p>
    <w:p w14:paraId="3602F377" w14:textId="77777777" w:rsidR="001D1B21" w:rsidRDefault="001D1B21" w:rsidP="005C625A">
      <w:pPr>
        <w:rPr>
          <w:i/>
          <w:iCs/>
        </w:rPr>
      </w:pPr>
    </w:p>
    <w:p w14:paraId="62D065C6" w14:textId="162C79CB" w:rsidR="001D1B21" w:rsidRDefault="001D1B21" w:rsidP="005C625A">
      <w:pPr>
        <w:rPr>
          <w:i/>
          <w:iCs/>
        </w:rPr>
      </w:pPr>
      <w:r>
        <w:rPr>
          <w:i/>
          <w:iCs/>
        </w:rPr>
        <w:t>Do further research on the concept of “capital maintenance”</w:t>
      </w:r>
    </w:p>
    <w:p w14:paraId="69D54F9F" w14:textId="77777777" w:rsidR="001D1B21" w:rsidRDefault="001D1B21" w:rsidP="005C625A">
      <w:pPr>
        <w:rPr>
          <w:i/>
          <w:iCs/>
        </w:rPr>
      </w:pPr>
    </w:p>
    <w:p w14:paraId="21680A22" w14:textId="403A6AA1" w:rsidR="001D1B21" w:rsidRDefault="001D1B21" w:rsidP="001D1B21">
      <w:pPr>
        <w:rPr>
          <w:i/>
          <w:iCs/>
        </w:rPr>
      </w:pPr>
      <w:r>
        <w:rPr>
          <w:i/>
          <w:iCs/>
        </w:rPr>
        <w:t>FINANCIAL STATEMENTS</w:t>
      </w:r>
    </w:p>
    <w:p w14:paraId="19A969D8" w14:textId="6518B076" w:rsidR="001D1B21" w:rsidRPr="00561C1B" w:rsidRDefault="00561C1B" w:rsidP="00561C1B">
      <w:pPr>
        <w:rPr>
          <w:i/>
          <w:iCs/>
        </w:rPr>
      </w:pPr>
      <w:r>
        <w:rPr>
          <w:i/>
          <w:iCs/>
        </w:rPr>
        <w:t>1.</w:t>
      </w:r>
      <w:r w:rsidR="001D1B21" w:rsidRPr="00561C1B">
        <w:rPr>
          <w:i/>
          <w:iCs/>
        </w:rPr>
        <w:t>Statement of Profit or Loss and Other Comprehensive Income (SOCI)</w:t>
      </w:r>
    </w:p>
    <w:p w14:paraId="151CBB2C" w14:textId="337DF943" w:rsidR="001D1B21" w:rsidRDefault="001D1B21" w:rsidP="001D1B21">
      <w:pPr>
        <w:pStyle w:val="ListParagraph"/>
        <w:numPr>
          <w:ilvl w:val="1"/>
          <w:numId w:val="5"/>
        </w:numPr>
        <w:rPr>
          <w:i/>
          <w:iCs/>
        </w:rPr>
      </w:pPr>
      <w:r>
        <w:rPr>
          <w:i/>
          <w:iCs/>
        </w:rPr>
        <w:t>Formula in Income less Expenses = which will result in a profit/ loss</w:t>
      </w:r>
    </w:p>
    <w:p w14:paraId="2500339F" w14:textId="77777777" w:rsidR="001D1B21" w:rsidRDefault="001D1B21" w:rsidP="001D1B21">
      <w:pPr>
        <w:pStyle w:val="ListParagraph"/>
        <w:numPr>
          <w:ilvl w:val="1"/>
          <w:numId w:val="5"/>
        </w:numPr>
        <w:rPr>
          <w:i/>
          <w:iCs/>
        </w:rPr>
      </w:pPr>
      <w:r w:rsidRPr="001D1B21">
        <w:rPr>
          <w:i/>
          <w:iCs/>
        </w:rPr>
        <w:t xml:space="preserve">An income statement measures the income and expenditure of a business </w:t>
      </w:r>
      <w:r w:rsidRPr="001D1B21">
        <w:rPr>
          <w:b/>
          <w:bCs/>
          <w:i/>
          <w:iCs/>
        </w:rPr>
        <w:t xml:space="preserve">over </w:t>
      </w:r>
      <w:proofErr w:type="gramStart"/>
      <w:r w:rsidRPr="001D1B21">
        <w:rPr>
          <w:b/>
          <w:bCs/>
          <w:i/>
          <w:iCs/>
        </w:rPr>
        <w:t>a period of time</w:t>
      </w:r>
      <w:proofErr w:type="gramEnd"/>
      <w:r w:rsidRPr="001D1B21">
        <w:rPr>
          <w:i/>
          <w:iCs/>
        </w:rPr>
        <w:t xml:space="preserve">, e.g. a month, a quarter or a year.  </w:t>
      </w:r>
    </w:p>
    <w:p w14:paraId="7176088B" w14:textId="77777777" w:rsidR="001D1B21" w:rsidRPr="001D1B21" w:rsidRDefault="00561C1B" w:rsidP="00561C1B">
      <w:pPr>
        <w:pStyle w:val="ListParagraph"/>
        <w:numPr>
          <w:ilvl w:val="1"/>
          <w:numId w:val="5"/>
        </w:numPr>
        <w:rPr>
          <w:i/>
          <w:iCs/>
        </w:rPr>
      </w:pPr>
      <w:r w:rsidRPr="00561C1B">
        <w:rPr>
          <w:i/>
          <w:iCs/>
        </w:rPr>
        <w:t>It is drawn up for financial reporting purposes, correctly reporting the revenue and expenditure for the period, and shows the difference between revenue and expenditure as either</w:t>
      </w:r>
      <w:r w:rsidRPr="00561C1B">
        <w:rPr>
          <w:b/>
          <w:bCs/>
          <w:i/>
          <w:iCs/>
        </w:rPr>
        <w:t xml:space="preserve"> a profit</w:t>
      </w:r>
      <w:r w:rsidRPr="00561C1B">
        <w:rPr>
          <w:i/>
          <w:iCs/>
        </w:rPr>
        <w:t xml:space="preserve"> (where revenue &gt; expenditure), or as a </w:t>
      </w:r>
      <w:r w:rsidRPr="00561C1B">
        <w:rPr>
          <w:b/>
          <w:bCs/>
          <w:i/>
          <w:iCs/>
        </w:rPr>
        <w:t>loss</w:t>
      </w:r>
      <w:r w:rsidRPr="00561C1B">
        <w:rPr>
          <w:i/>
          <w:iCs/>
        </w:rPr>
        <w:t xml:space="preserve"> (where expenditure &gt; revenue).</w:t>
      </w:r>
    </w:p>
    <w:p w14:paraId="4C30F6CB" w14:textId="6D32569F" w:rsidR="00561C1B" w:rsidRPr="001D1B21" w:rsidRDefault="00561C1B" w:rsidP="00561C1B">
      <w:pPr>
        <w:pStyle w:val="ListParagraph"/>
        <w:numPr>
          <w:ilvl w:val="1"/>
          <w:numId w:val="5"/>
        </w:numPr>
        <w:rPr>
          <w:i/>
          <w:iCs/>
          <w:color w:val="FF0000"/>
        </w:rPr>
      </w:pPr>
      <w:r>
        <w:rPr>
          <w:i/>
          <w:iCs/>
        </w:rPr>
        <w:t xml:space="preserve">The narration for this is </w:t>
      </w:r>
      <w:r w:rsidRPr="001D1B21">
        <w:rPr>
          <w:i/>
          <w:iCs/>
          <w:color w:val="FF0000"/>
        </w:rPr>
        <w:t>“</w:t>
      </w:r>
      <w:r>
        <w:rPr>
          <w:i/>
          <w:iCs/>
          <w:color w:val="FF0000"/>
        </w:rPr>
        <w:t>for the year ended</w:t>
      </w:r>
      <w:r>
        <w:rPr>
          <w:i/>
          <w:iCs/>
          <w:color w:val="FF0000"/>
        </w:rPr>
        <w:t xml:space="preserve"> at XX/XX/XXXX</w:t>
      </w:r>
      <w:r w:rsidRPr="001D1B21">
        <w:rPr>
          <w:i/>
          <w:iCs/>
          <w:color w:val="FF0000"/>
        </w:rPr>
        <w:t xml:space="preserve"> . . . . . . “</w:t>
      </w:r>
    </w:p>
    <w:p w14:paraId="6D5E0E38" w14:textId="616E6408" w:rsidR="001D1B21" w:rsidRDefault="001D1B21" w:rsidP="001D1B21">
      <w:pPr>
        <w:pStyle w:val="ListParagraph"/>
        <w:ind w:left="2160"/>
        <w:rPr>
          <w:i/>
          <w:iCs/>
        </w:rPr>
      </w:pPr>
    </w:p>
    <w:p w14:paraId="7105B442" w14:textId="13DD66B4" w:rsidR="001D1B21" w:rsidRPr="00561C1B" w:rsidRDefault="00561C1B" w:rsidP="00561C1B">
      <w:pPr>
        <w:rPr>
          <w:i/>
          <w:iCs/>
        </w:rPr>
      </w:pPr>
      <w:r>
        <w:rPr>
          <w:i/>
          <w:iCs/>
        </w:rPr>
        <w:t xml:space="preserve">2. </w:t>
      </w:r>
      <w:r w:rsidR="001D1B21" w:rsidRPr="00561C1B">
        <w:rPr>
          <w:i/>
          <w:iCs/>
        </w:rPr>
        <w:t>Statement of Financial Position (SOFP)</w:t>
      </w:r>
    </w:p>
    <w:p w14:paraId="74B72474" w14:textId="5741DE51" w:rsidR="001D1B21" w:rsidRDefault="001D1B21" w:rsidP="001D1B21">
      <w:pPr>
        <w:pStyle w:val="ListParagraph"/>
        <w:numPr>
          <w:ilvl w:val="1"/>
          <w:numId w:val="5"/>
        </w:numPr>
        <w:rPr>
          <w:i/>
          <w:iCs/>
        </w:rPr>
      </w:pPr>
      <w:r>
        <w:rPr>
          <w:i/>
          <w:iCs/>
        </w:rPr>
        <w:t>Formula is Assets (total) less Liabilities (total)</w:t>
      </w:r>
    </w:p>
    <w:p w14:paraId="71A92A18" w14:textId="4DF4EABA" w:rsidR="001D1B21" w:rsidRDefault="001D1B21" w:rsidP="001D1B21">
      <w:pPr>
        <w:pStyle w:val="ListParagraph"/>
        <w:numPr>
          <w:ilvl w:val="1"/>
          <w:numId w:val="5"/>
        </w:numPr>
        <w:rPr>
          <w:i/>
          <w:iCs/>
        </w:rPr>
      </w:pPr>
      <w:r>
        <w:rPr>
          <w:i/>
          <w:iCs/>
        </w:rPr>
        <w:t>It is a snapshot/ picture on a particular day (usually the end of the year)</w:t>
      </w:r>
    </w:p>
    <w:p w14:paraId="23DB23A2" w14:textId="1B218611" w:rsidR="001D1B21" w:rsidRDefault="001D1B21" w:rsidP="001D1B21">
      <w:pPr>
        <w:pStyle w:val="ListParagraph"/>
        <w:numPr>
          <w:ilvl w:val="1"/>
          <w:numId w:val="5"/>
        </w:numPr>
        <w:rPr>
          <w:i/>
          <w:iCs/>
          <w:color w:val="FF0000"/>
        </w:rPr>
      </w:pPr>
      <w:r>
        <w:rPr>
          <w:i/>
          <w:iCs/>
        </w:rPr>
        <w:t xml:space="preserve">The narration for this is </w:t>
      </w:r>
      <w:r w:rsidRPr="001D1B21">
        <w:rPr>
          <w:i/>
          <w:iCs/>
          <w:color w:val="FF0000"/>
        </w:rPr>
        <w:t>“</w:t>
      </w:r>
      <w:r w:rsidR="00561C1B">
        <w:rPr>
          <w:i/>
          <w:iCs/>
          <w:color w:val="FF0000"/>
        </w:rPr>
        <w:t>as at XX/XX/XXXX</w:t>
      </w:r>
      <w:r w:rsidRPr="001D1B21">
        <w:rPr>
          <w:i/>
          <w:iCs/>
          <w:color w:val="FF0000"/>
        </w:rPr>
        <w:t xml:space="preserve"> . . . . . . “</w:t>
      </w:r>
    </w:p>
    <w:p w14:paraId="3B8B4F87" w14:textId="325DEAAF" w:rsidR="00561C1B" w:rsidRDefault="00561C1B" w:rsidP="00561C1B">
      <w:pPr>
        <w:rPr>
          <w:i/>
          <w:iCs/>
        </w:rPr>
      </w:pPr>
      <w:r>
        <w:rPr>
          <w:i/>
          <w:iCs/>
        </w:rPr>
        <w:t xml:space="preserve">3. </w:t>
      </w:r>
      <w:r w:rsidR="00F96FBA">
        <w:rPr>
          <w:i/>
          <w:iCs/>
        </w:rPr>
        <w:t>Cash Flow Statement (covers)</w:t>
      </w:r>
    </w:p>
    <w:p w14:paraId="38DF4060" w14:textId="62A1F84D" w:rsidR="00F96FBA" w:rsidRDefault="00F96FBA" w:rsidP="00F96FBA">
      <w:pPr>
        <w:pStyle w:val="ListParagraph"/>
        <w:numPr>
          <w:ilvl w:val="0"/>
          <w:numId w:val="11"/>
        </w:numPr>
        <w:rPr>
          <w:i/>
          <w:iCs/>
        </w:rPr>
      </w:pPr>
      <w:r>
        <w:rPr>
          <w:i/>
          <w:iCs/>
        </w:rPr>
        <w:t>Cash flow from operations (starting with the profit)</w:t>
      </w:r>
    </w:p>
    <w:p w14:paraId="20ACD8D6" w14:textId="31601F24" w:rsidR="00F96FBA" w:rsidRDefault="00F96FBA" w:rsidP="00F96FBA">
      <w:pPr>
        <w:pStyle w:val="ListParagraph"/>
        <w:numPr>
          <w:ilvl w:val="0"/>
          <w:numId w:val="11"/>
        </w:numPr>
        <w:rPr>
          <w:i/>
          <w:iCs/>
        </w:rPr>
      </w:pPr>
      <w:r>
        <w:rPr>
          <w:i/>
          <w:iCs/>
        </w:rPr>
        <w:t xml:space="preserve">Cash inflows/ outflows from </w:t>
      </w:r>
      <w:r w:rsidRPr="00F96FBA">
        <w:rPr>
          <w:b/>
          <w:bCs/>
          <w:i/>
          <w:iCs/>
        </w:rPr>
        <w:t>financing</w:t>
      </w:r>
      <w:r>
        <w:rPr>
          <w:i/>
          <w:iCs/>
        </w:rPr>
        <w:t xml:space="preserve"> activities</w:t>
      </w:r>
    </w:p>
    <w:p w14:paraId="00773C08" w14:textId="1ADEFF1C" w:rsidR="00F96FBA" w:rsidRDefault="00F96FBA" w:rsidP="00F96FBA">
      <w:pPr>
        <w:pStyle w:val="ListParagraph"/>
        <w:numPr>
          <w:ilvl w:val="0"/>
          <w:numId w:val="11"/>
        </w:numPr>
        <w:rPr>
          <w:i/>
          <w:iCs/>
        </w:rPr>
      </w:pPr>
      <w:r>
        <w:rPr>
          <w:i/>
          <w:iCs/>
        </w:rPr>
        <w:t>Cash inflows/ outflows from investing activities</w:t>
      </w:r>
    </w:p>
    <w:p w14:paraId="6FB6ED6E" w14:textId="5E560802" w:rsidR="00F96FBA" w:rsidRDefault="00F96FBA" w:rsidP="00F96FBA">
      <w:pPr>
        <w:pStyle w:val="ListParagraph"/>
        <w:numPr>
          <w:ilvl w:val="0"/>
          <w:numId w:val="11"/>
        </w:numPr>
        <w:rPr>
          <w:i/>
          <w:iCs/>
        </w:rPr>
      </w:pPr>
      <w:r>
        <w:rPr>
          <w:i/>
          <w:iCs/>
        </w:rPr>
        <w:t>Reconciled to the total “cash and cash equivalents” on the Balance Sheet (SOFP)</w:t>
      </w:r>
    </w:p>
    <w:p w14:paraId="76445869" w14:textId="6D73895B" w:rsidR="00F96FBA" w:rsidRDefault="00F96FBA" w:rsidP="00F96FBA">
      <w:pPr>
        <w:rPr>
          <w:i/>
          <w:iCs/>
        </w:rPr>
      </w:pPr>
      <w:r>
        <w:rPr>
          <w:i/>
          <w:iCs/>
        </w:rPr>
        <w:t>4. Statement of Changes in Equity</w:t>
      </w:r>
    </w:p>
    <w:p w14:paraId="564E1813" w14:textId="4E084367" w:rsidR="00F96FBA" w:rsidRDefault="00F96FBA" w:rsidP="00F96FBA">
      <w:pPr>
        <w:rPr>
          <w:i/>
          <w:iCs/>
        </w:rPr>
      </w:pPr>
      <w:r>
        <w:rPr>
          <w:i/>
          <w:iCs/>
        </w:rPr>
        <w:t xml:space="preserve">(expands the </w:t>
      </w:r>
      <w:proofErr w:type="spellStart"/>
      <w:r>
        <w:rPr>
          <w:i/>
          <w:iCs/>
        </w:rPr>
        <w:t>Owners</w:t>
      </w:r>
      <w:proofErr w:type="spellEnd"/>
      <w:r>
        <w:rPr>
          <w:i/>
          <w:iCs/>
        </w:rPr>
        <w:t xml:space="preserve"> equity/ capital side of the Balance sheet formula into two period to show movements in items (including reserves – to benefit the view of the owners/ shareholders and provide them with further details)</w:t>
      </w:r>
    </w:p>
    <w:p w14:paraId="01B0FAF4" w14:textId="77777777" w:rsidR="00F96FBA" w:rsidRDefault="00F96FBA" w:rsidP="00F96FBA">
      <w:pPr>
        <w:rPr>
          <w:i/>
          <w:iCs/>
        </w:rPr>
      </w:pPr>
    </w:p>
    <w:p w14:paraId="50D71494" w14:textId="05EDADA7" w:rsidR="00F96FBA" w:rsidRDefault="00F96FBA" w:rsidP="00F96FBA">
      <w:pPr>
        <w:rPr>
          <w:i/>
          <w:iCs/>
        </w:rPr>
      </w:pPr>
      <w:r>
        <w:rPr>
          <w:i/>
          <w:iCs/>
        </w:rPr>
        <w:t>5. Notes – these are an integral part of financial statements and include things such as</w:t>
      </w:r>
    </w:p>
    <w:p w14:paraId="4600755F" w14:textId="22852FEE" w:rsidR="00F96FBA" w:rsidRDefault="00F96FBA" w:rsidP="00F96FBA">
      <w:pPr>
        <w:pStyle w:val="ListParagraph"/>
        <w:numPr>
          <w:ilvl w:val="0"/>
          <w:numId w:val="12"/>
        </w:numPr>
        <w:rPr>
          <w:i/>
          <w:iCs/>
        </w:rPr>
      </w:pPr>
      <w:r>
        <w:rPr>
          <w:i/>
          <w:iCs/>
        </w:rPr>
        <w:t>Accounting policies used in the preparation of the financial statements (including depreciation policies)</w:t>
      </w:r>
    </w:p>
    <w:p w14:paraId="290656AA" w14:textId="7DF7A954" w:rsidR="00F96FBA" w:rsidRPr="00F96FBA" w:rsidRDefault="00F96FBA" w:rsidP="00F96FBA">
      <w:pPr>
        <w:pStyle w:val="ListParagraph"/>
        <w:numPr>
          <w:ilvl w:val="0"/>
          <w:numId w:val="12"/>
        </w:numPr>
        <w:rPr>
          <w:i/>
          <w:iCs/>
        </w:rPr>
      </w:pPr>
      <w:r>
        <w:rPr>
          <w:i/>
          <w:iCs/>
        </w:rPr>
        <w:t>Further details/ reconciliations of items on the face of any of the statements above which cannot be easily included on the face of the these statements</w:t>
      </w:r>
    </w:p>
    <w:sectPr w:rsidR="00F96FBA" w:rsidRPr="00F96FBA" w:rsidSect="005C625A">
      <w:pgSz w:w="11906" w:h="16838"/>
      <w:pgMar w:top="709"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D204B"/>
    <w:multiLevelType w:val="hybridMultilevel"/>
    <w:tmpl w:val="25E8AE6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 w15:restartNumberingAfterBreak="0">
    <w:nsid w:val="22915EEA"/>
    <w:multiLevelType w:val="hybridMultilevel"/>
    <w:tmpl w:val="E138E496"/>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252C50F2"/>
    <w:multiLevelType w:val="hybridMultilevel"/>
    <w:tmpl w:val="51D0074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7D713EF"/>
    <w:multiLevelType w:val="hybridMultilevel"/>
    <w:tmpl w:val="6728F5A4"/>
    <w:lvl w:ilvl="0" w:tplc="0809000F">
      <w:start w:val="1"/>
      <w:numFmt w:val="decimal"/>
      <w:lvlText w:val="%1."/>
      <w:lvlJc w:val="left"/>
      <w:pPr>
        <w:ind w:left="2880" w:hanging="360"/>
      </w:pPr>
    </w:lvl>
    <w:lvl w:ilvl="1" w:tplc="08090001">
      <w:start w:val="1"/>
      <w:numFmt w:val="bullet"/>
      <w:lvlText w:val=""/>
      <w:lvlJc w:val="left"/>
      <w:pPr>
        <w:ind w:left="2160" w:hanging="360"/>
      </w:pPr>
      <w:rPr>
        <w:rFonts w:ascii="Symbol" w:hAnsi="Symbol" w:hint="default"/>
      </w:rPr>
    </w:lvl>
    <w:lvl w:ilvl="2" w:tplc="0809001B" w:tentative="1">
      <w:start w:val="1"/>
      <w:numFmt w:val="lowerRoman"/>
      <w:lvlText w:val="%3."/>
      <w:lvlJc w:val="right"/>
      <w:pPr>
        <w:ind w:left="4320" w:hanging="180"/>
      </w:pPr>
    </w:lvl>
    <w:lvl w:ilvl="3" w:tplc="0809000F" w:tentative="1">
      <w:start w:val="1"/>
      <w:numFmt w:val="decimal"/>
      <w:lvlText w:val="%4."/>
      <w:lvlJc w:val="left"/>
      <w:pPr>
        <w:ind w:left="5040" w:hanging="360"/>
      </w:pPr>
    </w:lvl>
    <w:lvl w:ilvl="4" w:tplc="08090019" w:tentative="1">
      <w:start w:val="1"/>
      <w:numFmt w:val="lowerLetter"/>
      <w:lvlText w:val="%5."/>
      <w:lvlJc w:val="left"/>
      <w:pPr>
        <w:ind w:left="5760" w:hanging="360"/>
      </w:pPr>
    </w:lvl>
    <w:lvl w:ilvl="5" w:tplc="0809001B" w:tentative="1">
      <w:start w:val="1"/>
      <w:numFmt w:val="lowerRoman"/>
      <w:lvlText w:val="%6."/>
      <w:lvlJc w:val="right"/>
      <w:pPr>
        <w:ind w:left="6480" w:hanging="180"/>
      </w:pPr>
    </w:lvl>
    <w:lvl w:ilvl="6" w:tplc="0809000F" w:tentative="1">
      <w:start w:val="1"/>
      <w:numFmt w:val="decimal"/>
      <w:lvlText w:val="%7."/>
      <w:lvlJc w:val="left"/>
      <w:pPr>
        <w:ind w:left="7200" w:hanging="360"/>
      </w:pPr>
    </w:lvl>
    <w:lvl w:ilvl="7" w:tplc="08090019" w:tentative="1">
      <w:start w:val="1"/>
      <w:numFmt w:val="lowerLetter"/>
      <w:lvlText w:val="%8."/>
      <w:lvlJc w:val="left"/>
      <w:pPr>
        <w:ind w:left="7920" w:hanging="360"/>
      </w:pPr>
    </w:lvl>
    <w:lvl w:ilvl="8" w:tplc="0809001B" w:tentative="1">
      <w:start w:val="1"/>
      <w:numFmt w:val="lowerRoman"/>
      <w:lvlText w:val="%9."/>
      <w:lvlJc w:val="right"/>
      <w:pPr>
        <w:ind w:left="8640" w:hanging="180"/>
      </w:pPr>
    </w:lvl>
  </w:abstractNum>
  <w:abstractNum w:abstractNumId="4" w15:restartNumberingAfterBreak="0">
    <w:nsid w:val="2873055A"/>
    <w:multiLevelType w:val="hybridMultilevel"/>
    <w:tmpl w:val="E3E67F68"/>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5" w15:restartNumberingAfterBreak="0">
    <w:nsid w:val="29DE670F"/>
    <w:multiLevelType w:val="hybridMultilevel"/>
    <w:tmpl w:val="058C0BA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2CED3478"/>
    <w:multiLevelType w:val="hybridMultilevel"/>
    <w:tmpl w:val="1BC2402A"/>
    <w:lvl w:ilvl="0" w:tplc="08090001">
      <w:start w:val="1"/>
      <w:numFmt w:val="bullet"/>
      <w:lvlText w:val=""/>
      <w:lvlJc w:val="left"/>
      <w:pPr>
        <w:ind w:left="2160" w:hanging="360"/>
      </w:pPr>
      <w:rPr>
        <w:rFonts w:ascii="Symbol" w:hAnsi="Symbol" w:hint="default"/>
      </w:rPr>
    </w:lvl>
    <w:lvl w:ilvl="1" w:tplc="08090003">
      <w:start w:val="1"/>
      <w:numFmt w:val="bullet"/>
      <w:lvlText w:val="o"/>
      <w:lvlJc w:val="left"/>
      <w:pPr>
        <w:ind w:left="2880" w:hanging="360"/>
      </w:pPr>
      <w:rPr>
        <w:rFonts w:ascii="Courier New" w:hAnsi="Courier New" w:cs="Courier New" w:hint="default"/>
      </w:rPr>
    </w:lvl>
    <w:lvl w:ilvl="2" w:tplc="08090005">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7" w15:restartNumberingAfterBreak="0">
    <w:nsid w:val="30E04A60"/>
    <w:multiLevelType w:val="hybridMultilevel"/>
    <w:tmpl w:val="0B8C4538"/>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8" w15:restartNumberingAfterBreak="0">
    <w:nsid w:val="3F8B7B56"/>
    <w:multiLevelType w:val="hybridMultilevel"/>
    <w:tmpl w:val="EB049008"/>
    <w:lvl w:ilvl="0" w:tplc="1E3E940E">
      <w:start w:val="1"/>
      <w:numFmt w:val="bullet"/>
      <w:lvlText w:val="✚"/>
      <w:lvlJc w:val="left"/>
      <w:pPr>
        <w:tabs>
          <w:tab w:val="num" w:pos="720"/>
        </w:tabs>
        <w:ind w:left="720" w:hanging="360"/>
      </w:pPr>
      <w:rPr>
        <w:rFonts w:ascii="Segoe UI Symbol" w:hAnsi="Segoe UI Symbol" w:hint="default"/>
      </w:rPr>
    </w:lvl>
    <w:lvl w:ilvl="1" w:tplc="6AEAF742" w:tentative="1">
      <w:start w:val="1"/>
      <w:numFmt w:val="bullet"/>
      <w:lvlText w:val="✚"/>
      <w:lvlJc w:val="left"/>
      <w:pPr>
        <w:tabs>
          <w:tab w:val="num" w:pos="1440"/>
        </w:tabs>
        <w:ind w:left="1440" w:hanging="360"/>
      </w:pPr>
      <w:rPr>
        <w:rFonts w:ascii="Segoe UI Symbol" w:hAnsi="Segoe UI Symbol" w:hint="default"/>
      </w:rPr>
    </w:lvl>
    <w:lvl w:ilvl="2" w:tplc="2B4099FE" w:tentative="1">
      <w:start w:val="1"/>
      <w:numFmt w:val="bullet"/>
      <w:lvlText w:val="✚"/>
      <w:lvlJc w:val="left"/>
      <w:pPr>
        <w:tabs>
          <w:tab w:val="num" w:pos="2160"/>
        </w:tabs>
        <w:ind w:left="2160" w:hanging="360"/>
      </w:pPr>
      <w:rPr>
        <w:rFonts w:ascii="Segoe UI Symbol" w:hAnsi="Segoe UI Symbol" w:hint="default"/>
      </w:rPr>
    </w:lvl>
    <w:lvl w:ilvl="3" w:tplc="438E21C2" w:tentative="1">
      <w:start w:val="1"/>
      <w:numFmt w:val="bullet"/>
      <w:lvlText w:val="✚"/>
      <w:lvlJc w:val="left"/>
      <w:pPr>
        <w:tabs>
          <w:tab w:val="num" w:pos="2880"/>
        </w:tabs>
        <w:ind w:left="2880" w:hanging="360"/>
      </w:pPr>
      <w:rPr>
        <w:rFonts w:ascii="Segoe UI Symbol" w:hAnsi="Segoe UI Symbol" w:hint="default"/>
      </w:rPr>
    </w:lvl>
    <w:lvl w:ilvl="4" w:tplc="60EEFE36" w:tentative="1">
      <w:start w:val="1"/>
      <w:numFmt w:val="bullet"/>
      <w:lvlText w:val="✚"/>
      <w:lvlJc w:val="left"/>
      <w:pPr>
        <w:tabs>
          <w:tab w:val="num" w:pos="3600"/>
        </w:tabs>
        <w:ind w:left="3600" w:hanging="360"/>
      </w:pPr>
      <w:rPr>
        <w:rFonts w:ascii="Segoe UI Symbol" w:hAnsi="Segoe UI Symbol" w:hint="default"/>
      </w:rPr>
    </w:lvl>
    <w:lvl w:ilvl="5" w:tplc="24D0C3E6" w:tentative="1">
      <w:start w:val="1"/>
      <w:numFmt w:val="bullet"/>
      <w:lvlText w:val="✚"/>
      <w:lvlJc w:val="left"/>
      <w:pPr>
        <w:tabs>
          <w:tab w:val="num" w:pos="4320"/>
        </w:tabs>
        <w:ind w:left="4320" w:hanging="360"/>
      </w:pPr>
      <w:rPr>
        <w:rFonts w:ascii="Segoe UI Symbol" w:hAnsi="Segoe UI Symbol" w:hint="default"/>
      </w:rPr>
    </w:lvl>
    <w:lvl w:ilvl="6" w:tplc="C186BE32" w:tentative="1">
      <w:start w:val="1"/>
      <w:numFmt w:val="bullet"/>
      <w:lvlText w:val="✚"/>
      <w:lvlJc w:val="left"/>
      <w:pPr>
        <w:tabs>
          <w:tab w:val="num" w:pos="5040"/>
        </w:tabs>
        <w:ind w:left="5040" w:hanging="360"/>
      </w:pPr>
      <w:rPr>
        <w:rFonts w:ascii="Segoe UI Symbol" w:hAnsi="Segoe UI Symbol" w:hint="default"/>
      </w:rPr>
    </w:lvl>
    <w:lvl w:ilvl="7" w:tplc="0BECA936" w:tentative="1">
      <w:start w:val="1"/>
      <w:numFmt w:val="bullet"/>
      <w:lvlText w:val="✚"/>
      <w:lvlJc w:val="left"/>
      <w:pPr>
        <w:tabs>
          <w:tab w:val="num" w:pos="5760"/>
        </w:tabs>
        <w:ind w:left="5760" w:hanging="360"/>
      </w:pPr>
      <w:rPr>
        <w:rFonts w:ascii="Segoe UI Symbol" w:hAnsi="Segoe UI Symbol" w:hint="default"/>
      </w:rPr>
    </w:lvl>
    <w:lvl w:ilvl="8" w:tplc="1CB23374" w:tentative="1">
      <w:start w:val="1"/>
      <w:numFmt w:val="bullet"/>
      <w:lvlText w:val="✚"/>
      <w:lvlJc w:val="left"/>
      <w:pPr>
        <w:tabs>
          <w:tab w:val="num" w:pos="6480"/>
        </w:tabs>
        <w:ind w:left="6480" w:hanging="360"/>
      </w:pPr>
      <w:rPr>
        <w:rFonts w:ascii="Segoe UI Symbol" w:hAnsi="Segoe UI Symbol" w:hint="default"/>
      </w:rPr>
    </w:lvl>
  </w:abstractNum>
  <w:abstractNum w:abstractNumId="9" w15:restartNumberingAfterBreak="0">
    <w:nsid w:val="51FB4639"/>
    <w:multiLevelType w:val="multilevel"/>
    <w:tmpl w:val="B2922D88"/>
    <w:lvl w:ilvl="0">
      <w:start w:val="1"/>
      <w:numFmt w:val="bullet"/>
      <w:lvlText w:val=""/>
      <w:lvlJc w:val="left"/>
      <w:pPr>
        <w:tabs>
          <w:tab w:val="num" w:pos="2160"/>
        </w:tabs>
        <w:ind w:left="2160" w:hanging="360"/>
      </w:pPr>
      <w:rPr>
        <w:rFonts w:ascii="Symbol" w:hAnsi="Symbol" w:hint="default"/>
        <w:sz w:val="20"/>
      </w:rPr>
    </w:lvl>
    <w:lvl w:ilvl="1">
      <w:start w:val="1"/>
      <w:numFmt w:val="bullet"/>
      <w:lvlText w:val="o"/>
      <w:lvlJc w:val="left"/>
      <w:pPr>
        <w:tabs>
          <w:tab w:val="num" w:pos="2880"/>
        </w:tabs>
        <w:ind w:left="2880" w:hanging="360"/>
      </w:pPr>
      <w:rPr>
        <w:rFonts w:ascii="Courier New" w:hAnsi="Courier New" w:hint="default"/>
        <w:sz w:val="20"/>
      </w:rPr>
    </w:lvl>
    <w:lvl w:ilvl="2">
      <w:start w:val="1"/>
      <w:numFmt w:val="bullet"/>
      <w:lvlText w:val=""/>
      <w:lvlJc w:val="left"/>
      <w:pPr>
        <w:tabs>
          <w:tab w:val="num" w:pos="3600"/>
        </w:tabs>
        <w:ind w:left="3600" w:hanging="360"/>
      </w:pPr>
      <w:rPr>
        <w:rFonts w:ascii="Wingdings" w:hAnsi="Wingdings" w:hint="default"/>
        <w:sz w:val="20"/>
      </w:rPr>
    </w:lvl>
    <w:lvl w:ilvl="3">
      <w:start w:val="1"/>
      <w:numFmt w:val="decimal"/>
      <w:lvlText w:val="%4."/>
      <w:lvlJc w:val="left"/>
      <w:pPr>
        <w:ind w:left="4320" w:hanging="360"/>
      </w:pPr>
      <w:rPr>
        <w:rFonts w:hint="default"/>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10" w15:restartNumberingAfterBreak="0">
    <w:nsid w:val="550C676B"/>
    <w:multiLevelType w:val="hybridMultilevel"/>
    <w:tmpl w:val="710A25BC"/>
    <w:lvl w:ilvl="0" w:tplc="08090001">
      <w:start w:val="1"/>
      <w:numFmt w:val="bullet"/>
      <w:lvlText w:val=""/>
      <w:lvlJc w:val="left"/>
      <w:pPr>
        <w:ind w:left="2880" w:hanging="360"/>
      </w:pPr>
      <w:rPr>
        <w:rFonts w:ascii="Symbol" w:hAnsi="Symbol" w:hint="default"/>
      </w:rPr>
    </w:lvl>
    <w:lvl w:ilvl="1" w:tplc="08090003" w:tentative="1">
      <w:start w:val="1"/>
      <w:numFmt w:val="bullet"/>
      <w:lvlText w:val="o"/>
      <w:lvlJc w:val="left"/>
      <w:pPr>
        <w:ind w:left="3600" w:hanging="360"/>
      </w:pPr>
      <w:rPr>
        <w:rFonts w:ascii="Courier New" w:hAnsi="Courier New" w:cs="Courier New" w:hint="default"/>
      </w:rPr>
    </w:lvl>
    <w:lvl w:ilvl="2" w:tplc="08090005" w:tentative="1">
      <w:start w:val="1"/>
      <w:numFmt w:val="bullet"/>
      <w:lvlText w:val=""/>
      <w:lvlJc w:val="left"/>
      <w:pPr>
        <w:ind w:left="4320" w:hanging="360"/>
      </w:pPr>
      <w:rPr>
        <w:rFonts w:ascii="Wingdings" w:hAnsi="Wingdings" w:hint="default"/>
      </w:rPr>
    </w:lvl>
    <w:lvl w:ilvl="3" w:tplc="08090001" w:tentative="1">
      <w:start w:val="1"/>
      <w:numFmt w:val="bullet"/>
      <w:lvlText w:val=""/>
      <w:lvlJc w:val="left"/>
      <w:pPr>
        <w:ind w:left="5040" w:hanging="360"/>
      </w:pPr>
      <w:rPr>
        <w:rFonts w:ascii="Symbol" w:hAnsi="Symbol" w:hint="default"/>
      </w:rPr>
    </w:lvl>
    <w:lvl w:ilvl="4" w:tplc="08090003" w:tentative="1">
      <w:start w:val="1"/>
      <w:numFmt w:val="bullet"/>
      <w:lvlText w:val="o"/>
      <w:lvlJc w:val="left"/>
      <w:pPr>
        <w:ind w:left="5760" w:hanging="360"/>
      </w:pPr>
      <w:rPr>
        <w:rFonts w:ascii="Courier New" w:hAnsi="Courier New" w:cs="Courier New" w:hint="default"/>
      </w:rPr>
    </w:lvl>
    <w:lvl w:ilvl="5" w:tplc="08090005" w:tentative="1">
      <w:start w:val="1"/>
      <w:numFmt w:val="bullet"/>
      <w:lvlText w:val=""/>
      <w:lvlJc w:val="left"/>
      <w:pPr>
        <w:ind w:left="6480" w:hanging="360"/>
      </w:pPr>
      <w:rPr>
        <w:rFonts w:ascii="Wingdings" w:hAnsi="Wingdings" w:hint="default"/>
      </w:rPr>
    </w:lvl>
    <w:lvl w:ilvl="6" w:tplc="08090001" w:tentative="1">
      <w:start w:val="1"/>
      <w:numFmt w:val="bullet"/>
      <w:lvlText w:val=""/>
      <w:lvlJc w:val="left"/>
      <w:pPr>
        <w:ind w:left="7200" w:hanging="360"/>
      </w:pPr>
      <w:rPr>
        <w:rFonts w:ascii="Symbol" w:hAnsi="Symbol" w:hint="default"/>
      </w:rPr>
    </w:lvl>
    <w:lvl w:ilvl="7" w:tplc="08090003" w:tentative="1">
      <w:start w:val="1"/>
      <w:numFmt w:val="bullet"/>
      <w:lvlText w:val="o"/>
      <w:lvlJc w:val="left"/>
      <w:pPr>
        <w:ind w:left="7920" w:hanging="360"/>
      </w:pPr>
      <w:rPr>
        <w:rFonts w:ascii="Courier New" w:hAnsi="Courier New" w:cs="Courier New" w:hint="default"/>
      </w:rPr>
    </w:lvl>
    <w:lvl w:ilvl="8" w:tplc="08090005" w:tentative="1">
      <w:start w:val="1"/>
      <w:numFmt w:val="bullet"/>
      <w:lvlText w:val=""/>
      <w:lvlJc w:val="left"/>
      <w:pPr>
        <w:ind w:left="8640" w:hanging="360"/>
      </w:pPr>
      <w:rPr>
        <w:rFonts w:ascii="Wingdings" w:hAnsi="Wingdings" w:hint="default"/>
      </w:rPr>
    </w:lvl>
  </w:abstractNum>
  <w:abstractNum w:abstractNumId="11" w15:restartNumberingAfterBreak="0">
    <w:nsid w:val="7AD63E2D"/>
    <w:multiLevelType w:val="hybridMultilevel"/>
    <w:tmpl w:val="177C5C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06968369">
    <w:abstractNumId w:val="10"/>
  </w:num>
  <w:num w:numId="2" w16cid:durableId="747732204">
    <w:abstractNumId w:val="7"/>
  </w:num>
  <w:num w:numId="3" w16cid:durableId="654187412">
    <w:abstractNumId w:val="6"/>
  </w:num>
  <w:num w:numId="4" w16cid:durableId="1057239482">
    <w:abstractNumId w:val="9"/>
  </w:num>
  <w:num w:numId="5" w16cid:durableId="1373113175">
    <w:abstractNumId w:val="3"/>
  </w:num>
  <w:num w:numId="6" w16cid:durableId="767895779">
    <w:abstractNumId w:val="8"/>
  </w:num>
  <w:num w:numId="7" w16cid:durableId="594745606">
    <w:abstractNumId w:val="1"/>
  </w:num>
  <w:num w:numId="8" w16cid:durableId="1204056052">
    <w:abstractNumId w:val="4"/>
  </w:num>
  <w:num w:numId="9" w16cid:durableId="1259412068">
    <w:abstractNumId w:val="2"/>
  </w:num>
  <w:num w:numId="10" w16cid:durableId="1787500068">
    <w:abstractNumId w:val="5"/>
  </w:num>
  <w:num w:numId="11" w16cid:durableId="2019892135">
    <w:abstractNumId w:val="0"/>
  </w:num>
  <w:num w:numId="12" w16cid:durableId="6488113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1C2E"/>
    <w:rsid w:val="001D1B21"/>
    <w:rsid w:val="002B22F4"/>
    <w:rsid w:val="00325E22"/>
    <w:rsid w:val="0047331D"/>
    <w:rsid w:val="00561C1B"/>
    <w:rsid w:val="005C625A"/>
    <w:rsid w:val="008B19E7"/>
    <w:rsid w:val="00A41781"/>
    <w:rsid w:val="00CE25A7"/>
    <w:rsid w:val="00E356B4"/>
    <w:rsid w:val="00E71C2E"/>
    <w:rsid w:val="00F96FB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741A1E"/>
  <w15:chartTrackingRefBased/>
  <w15:docId w15:val="{E55C8D5E-0CCA-417A-B49A-9A8976E08C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71C2E"/>
    <w:pPr>
      <w:ind w:left="720"/>
      <w:contextualSpacing/>
    </w:pPr>
  </w:style>
  <w:style w:type="paragraph" w:customStyle="1" w:styleId="trt0xe">
    <w:name w:val="trt0xe"/>
    <w:basedOn w:val="Normal"/>
    <w:rsid w:val="00325E22"/>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5924083">
      <w:bodyDiv w:val="1"/>
      <w:marLeft w:val="0"/>
      <w:marRight w:val="0"/>
      <w:marTop w:val="0"/>
      <w:marBottom w:val="0"/>
      <w:divBdr>
        <w:top w:val="none" w:sz="0" w:space="0" w:color="auto"/>
        <w:left w:val="none" w:sz="0" w:space="0" w:color="auto"/>
        <w:bottom w:val="none" w:sz="0" w:space="0" w:color="auto"/>
        <w:right w:val="none" w:sz="0" w:space="0" w:color="auto"/>
      </w:divBdr>
      <w:divsChild>
        <w:div w:id="282539300">
          <w:marLeft w:val="274"/>
          <w:marRight w:val="0"/>
          <w:marTop w:val="150"/>
          <w:marBottom w:val="0"/>
          <w:divBdr>
            <w:top w:val="none" w:sz="0" w:space="0" w:color="auto"/>
            <w:left w:val="none" w:sz="0" w:space="0" w:color="auto"/>
            <w:bottom w:val="none" w:sz="0" w:space="0" w:color="auto"/>
            <w:right w:val="none" w:sz="0" w:space="0" w:color="auto"/>
          </w:divBdr>
        </w:div>
      </w:divsChild>
    </w:div>
    <w:div w:id="16166695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TotalTime>
  <Pages>3</Pages>
  <Words>887</Words>
  <Characters>5056</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University of Brighton</Company>
  <LinksUpToDate>false</LinksUpToDate>
  <CharactersWithSpaces>5932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Tapiwa Gande</dc:creator>
  <cp:keywords/>
  <dc:description/>
  <cp:lastModifiedBy>Tapiwa Gande</cp:lastModifiedBy>
  <cp:revision>1</cp:revision>
  <dcterms:created xsi:type="dcterms:W3CDTF">2024-02-07T09:26:00Z</dcterms:created>
  <dcterms:modified xsi:type="dcterms:W3CDTF">2024-02-07T10:22:00Z</dcterms:modified>
</cp:coreProperties>
</file>