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51"/>
        <w:pBdr/>
        <w:spacing w:after="0" w:before="240"/>
        <w:ind w:firstLine="0" w:left="0"/>
        <w:rPr>
          <w:rFonts w:cs="Arial"/>
        </w:rPr>
      </w:pPr>
      <w:r>
        <w:rPr>
          <w:rFonts w:cs="Arial"/>
        </w:rPr>
        <w:t xml:space="preserve">University of Brighton</w:t>
      </w:r>
      <w:r>
        <w:br/>
      </w:r>
      <w:r>
        <w:rPr>
          <w:rFonts w:cs="Arial"/>
        </w:rPr>
        <w:t xml:space="preserve">School of Business and Law</w:t>
      </w:r>
      <w:r>
        <w:rPr>
          <w:rFonts w:cs="Arial"/>
        </w:rPr>
      </w:r>
    </w:p>
    <w:p>
      <w:pPr>
        <w:pStyle w:val="752"/>
        <w:pBdr/>
        <w:spacing/>
        <w:ind w:firstLine="0" w:left="0"/>
        <w:rPr/>
      </w:pPr>
      <w:r/>
      <w:r/>
    </w:p>
    <w:p>
      <w:pPr>
        <w:pStyle w:val="752"/>
        <w:pBdr/>
        <w:spacing/>
        <w:ind w:firstLine="0" w:left="0"/>
        <w:rPr/>
      </w:pPr>
      <w:r>
        <w:t xml:space="preserve">Module Roadmap </w:t>
      </w:r>
      <w:r/>
    </w:p>
    <w:p>
      <w:pPr>
        <w:pStyle w:val="750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tbl>
      <w:tblPr>
        <w:tblInd w:w="0" w:type="dxa"/>
        <w:tblW w:w="1394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80"/>
        <w:gridCol w:w="11967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textDirection w:val="lrTb"/>
            <w:noWrap w:val="false"/>
          </w:tcPr>
          <w:p>
            <w:pPr>
              <w:pStyle w:val="750"/>
              <w:pBdr/>
              <w:spacing w:after="0" w:before="0" w:line="240" w:lineRule="auto"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Module Title: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67" w:type="dxa"/>
            <w:textDirection w:val="lrTb"/>
            <w:noWrap w:val="false"/>
          </w:tcPr>
          <w:p>
            <w:pPr>
              <w:pStyle w:val="750"/>
              <w:pBdr/>
              <w:spacing w:after="0" w:before="0" w:line="240" w:lineRule="auto"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FN 585 Financial Modelling and Dealing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textDirection w:val="lrTb"/>
            <w:noWrap w:val="false"/>
          </w:tcPr>
          <w:p>
            <w:pPr>
              <w:pStyle w:val="750"/>
              <w:pBdr/>
              <w:spacing w:after="0" w:before="0" w:line="240" w:lineRule="auto"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Semester: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67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Semester 2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textDirection w:val="lrTb"/>
            <w:noWrap w:val="false"/>
          </w:tcPr>
          <w:p>
            <w:pPr>
              <w:pStyle w:val="750"/>
              <w:pBdr/>
              <w:spacing w:after="0" w:before="0" w:line="240" w:lineRule="auto"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Module Leader: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967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Shahab Gharaati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pStyle w:val="750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63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63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50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tbl>
      <w:tblPr>
        <w:tblInd w:w="0" w:type="dxa"/>
        <w:tblW w:w="13950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438"/>
        <w:gridCol w:w="3062"/>
        <w:gridCol w:w="3242"/>
        <w:gridCol w:w="3165"/>
        <w:gridCol w:w="3043"/>
      </w:tblGrid>
      <w:tr>
        <w:trPr>
          <w:cantSplit/>
          <w:trHeight w:val="480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pBdr/>
              <w:spacing w:after="160" w:before="0"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/ Date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50"/>
              <w:pBdr/>
              <w:spacing w:after="0" w:before="0"/>
              <w:ind/>
              <w:rPr>
                <w:rFonts w:cs="Arial"/>
                <w:b/>
                <w:bCs/>
                <w:color w:val="000000" w:themeColor="dark1"/>
              </w:rPr>
            </w:pPr>
            <w:r>
              <w:rPr>
                <w:rFonts w:cs="Arial"/>
                <w:b/>
                <w:bCs/>
                <w:color w:val="000000" w:themeColor="dark1"/>
                <w:sz w:val="22"/>
                <w:szCs w:val="22"/>
              </w:rPr>
              <w:t xml:space="preserve">Lecture Topics</w:t>
            </w:r>
            <w:r>
              <w:rPr>
                <w:rFonts w:cs="Arial"/>
                <w:b/>
                <w:bCs/>
                <w:color w:val="000000" w:themeColor="dark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pBdr/>
              <w:spacing w:after="0" w:before="0"/>
              <w:ind/>
              <w:rPr>
                <w:rFonts w:ascii="Arial" w:hAnsi="Arial" w:cs="Arial"/>
                <w:b/>
                <w:bCs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pBdr/>
              <w:spacing w:after="0" w:before="0"/>
              <w:ind/>
              <w:rPr>
                <w:rFonts w:ascii="Arial" w:hAnsi="Arial" w:cs="Arial"/>
                <w:b/>
                <w:bCs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dark1"/>
                <w:sz w:val="20"/>
                <w:szCs w:val="20"/>
              </w:rPr>
              <w:t xml:space="preserve"> </w:t>
            </w:r>
            <w:r>
              <w:br/>
            </w:r>
            <w:r>
              <w:rPr>
                <w:rFonts w:cs="Arial"/>
                <w:b/>
                <w:bCs/>
                <w:color w:val="000000" w:themeColor="dark1"/>
                <w:sz w:val="22"/>
                <w:szCs w:val="22"/>
              </w:rPr>
              <w:t xml:space="preserve"> Seminars</w:t>
            </w:r>
            <w:r>
              <w:rPr>
                <w:rFonts w:ascii="Arial" w:hAnsi="Arial" w:cs="Arial"/>
                <w:b/>
                <w:bCs/>
                <w:color w:val="000000" w:themeColor="dark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Style w:val="750"/>
              <w:pBdr/>
              <w:spacing w:after="0" w:before="0" w:line="259" w:lineRule="auto"/>
              <w:ind w:right="0" w:firstLine="0" w:left="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 Your Own Time</w:t>
            </w:r>
            <w:r>
              <w:br/>
            </w:r>
            <w:r>
              <w:rPr>
                <w:rFonts w:ascii="Arial" w:hAnsi="Arial" w:cs="Arial"/>
                <w:i/>
                <w:iCs/>
                <w:color w:val="000000" w:themeColor="dark1"/>
                <w:sz w:val="20"/>
                <w:szCs w:val="20"/>
              </w:rPr>
              <w:t xml:space="preserve">Activities to be completed before / after taught sessions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  <w:p>
            <w:pPr>
              <w:pStyle w:val="750"/>
              <w:pBdr/>
              <w:spacing w:after="160" w:before="0"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textDirection w:val="lrTb"/>
            <w:noWrap w:val="false"/>
          </w:tcPr>
          <w:p>
            <w:pPr>
              <w:pStyle w:val="750"/>
              <w:pBdr/>
              <w:spacing w:after="160" w:before="0"/>
              <w:ind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Key Deadlines </w:t>
            </w:r>
            <w:r>
              <w:br/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1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9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.02.202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  <w:t xml:space="preserve">1.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  <w:t xml:space="preserve"> Basic 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"/>
              </w:rPr>
              <w:t xml:space="preserve">p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  <w:t xml:space="preserve">r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"/>
              </w:rPr>
              <w:t xml:space="preserve">obability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"/>
              </w:rPr>
              <w:t xml:space="preserve"> theory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lang w:val="en"/>
              </w:rPr>
              <w:t xml:space="preserve">Working with financial data</w:t>
            </w: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lang w:val="en-GB" w:eastAsia="en-US" w:bidi="ar-SA"/>
              </w:rPr>
              <w:t xml:space="preserve"> (</w:t>
            </w: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lang w:val="en"/>
              </w:rPr>
              <w:t xml:space="preserve">How to wrok with financial data in R)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  <w:t xml:space="preserve">Slides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 w:val="0"/>
                <w:i/>
                <w:iCs/>
                <w:color w:val="000000" w:themeColor="dark1"/>
                <w:sz w:val="20"/>
                <w:szCs w:val="20"/>
                <w:lang w:val="en-GB" w:eastAsia="en-US" w:bidi="ar-SA"/>
              </w:rPr>
              <w:t xml:space="preserve">Repeat class examples in R</w:t>
              <w:br/>
              <w:br/>
            </w:r>
            <w:r>
              <w:rPr>
                <w:rFonts w:ascii="Arial" w:hAnsi="Arial" w:eastAsia="Calibri" w:cs="Arial"/>
                <w:b w:val="0"/>
                <w:bCs w:val="0"/>
                <w:i/>
                <w:iCs/>
                <w:color w:val="000000" w:themeColor="dark1"/>
                <w:sz w:val="20"/>
                <w:szCs w:val="20"/>
                <w:lang w:val="en"/>
              </w:rPr>
              <w:t xml:space="preserve">Tutrial: </w:t>
            </w:r>
            <w:r>
              <w:rPr>
                <w:sz w:val="20"/>
                <w:szCs w:val="20"/>
              </w:rPr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  <w:r>
              <w:rPr>
                <w:rFonts w:ascii="Arial" w:hAnsi="Arial" w:eastAsia="Calibri" w:cs="Arial"/>
                <w:b w:val="0"/>
                <w:bCs w:val="0"/>
                <w:i w:val="0"/>
                <w:iCs/>
                <w:color w:val="000000" w:themeColor="text1"/>
                <w:sz w:val="20"/>
                <w:szCs w:val="20"/>
                <w:lang w:val="en-GB" w:eastAsia="en-US" w:bidi="ar-SA"/>
              </w:rPr>
              <w:t xml:space="preserve">Financial Time Series</w:t>
            </w:r>
            <w:r/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/>
                <w:color w:val="000000" w:themeColor="text1"/>
                <w:sz w:val="20"/>
                <w:szCs w:val="20"/>
                <w:lang w:val="en-GB" w:eastAsia="en-US" w:bidi="ar-SA"/>
              </w:rPr>
              <w:t xml:space="preserve">and Their Characteristics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 w:val="0"/>
                <w:i/>
                <w:iCs/>
                <w:color w:val="000000" w:themeColor="dark1"/>
                <w:sz w:val="20"/>
                <w:szCs w:val="20"/>
                <w:lang w:val="en"/>
              </w:rPr>
            </w:r>
            <w:r>
              <w:rPr>
                <w:sz w:val="20"/>
                <w:szCs w:val="20"/>
              </w:rPr>
            </w:r>
            <w:r/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textDirection w:val="lrTb"/>
            <w:noWrap w:val="false"/>
          </w:tcPr>
          <w:p>
            <w:pPr>
              <w:pStyle w:val="750"/>
              <w:pBdr/>
              <w:spacing w:after="160" w:before="0"/>
              <w:ind/>
              <w:rPr>
                <w:rFonts w:ascii="Arial" w:hAnsi="Arial" w:cs="Arial"/>
                <w:i/>
                <w:iCs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i/>
                <w:iCs/>
                <w:color w:val="000000" w:themeColor="dark1"/>
                <w:sz w:val="20"/>
                <w:szCs w:val="20"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.02.202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"/>
              </w:rPr>
              <w:t xml:space="preserve">2. Review of linear regression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  <w:br/>
              <w:t xml:space="preserve"> Statistical inference 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  <w:t xml:space="preserve">(For Accounting and Finance Students)</w:t>
            </w:r>
            <w:r>
              <w:rPr>
                <w:sz w:val="20"/>
                <w:szCs w:val="20"/>
              </w:rPr>
              <w:br/>
              <w:br/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Related R packages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Slides;</w:t>
            </w: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Style w:val="760"/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https://theeffectbook.net/ch-StatisticalAdjustment.html</w:t>
            </w:r>
            <w:r/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/>
            </w:pPr>
            <w:r/>
            <w:r/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/>
                <w:iCs/>
                <w:color w:val="000000" w:themeColor="dark1"/>
                <w:sz w:val="20"/>
                <w:szCs w:val="20"/>
              </w:rPr>
              <w:t xml:space="preserve">Repeat class examples in R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3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23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.02.202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"/>
              </w:rPr>
              <w:t xml:space="preserve">3</w:t>
            </w: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. Linear Time Series (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Autoregression, ARMA, Forecasting)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br/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lang w:val="en-GB" w:eastAsia="en-US" w:bidi="ar-SA"/>
              </w:rPr>
              <w:t xml:space="preserve">Related R packages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Slides;</w:t>
            </w: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br/>
            </w:r>
            <w:hyperlink r:id="rId14" w:tooltip="https://www.econometrics-with-r.org/14-ittsraf.html" w:history="1">
              <w:r>
                <w:rPr>
                  <w:rStyle w:val="760"/>
                  <w:rFonts w:ascii="Arial" w:hAnsi="Arial" w:eastAsia="Calibri" w:cs="Arial"/>
                  <w:b w:val="0"/>
                  <w:bCs w:val="0"/>
                  <w:i w:val="0"/>
                  <w:iCs w:val="0"/>
                  <w:color w:val="000000" w:themeColor="dark1"/>
                  <w:sz w:val="20"/>
                  <w:szCs w:val="20"/>
                  <w:lang w:val="en-GB" w:eastAsia="en-US" w:bidi="ar-SA"/>
                </w:rPr>
                <w:t xml:space="preserve">https://www.econometrics-with-r.org/14-ittsraf.html</w:t>
              </w:r>
            </w:hyperlink>
            <w:r/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</w:rPr>
              <w:t xml:space="preserve">Stock and Watson, ch. 15</w:t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 w:val="0"/>
                <w:i/>
                <w:iCs/>
                <w:color w:val="000000" w:themeColor="dark1"/>
                <w:sz w:val="20"/>
                <w:szCs w:val="20"/>
                <w:lang w:val="en-GB" w:eastAsia="en-US" w:bidi="ar-SA"/>
              </w:rPr>
              <w:t xml:space="preserve">Repeat class examples in R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4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3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"/>
              </w:rPr>
              <w:t xml:space="preserve">4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  <w:t xml:space="preserve">.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"/>
              </w:rPr>
              <w:t xml:space="preserve"> </w:t>
            </w: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Linear Time Series (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Estimation of Dynamic Causal E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"/>
              </w:rPr>
              <w:t xml:space="preserve">f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fects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"/>
              </w:rPr>
              <w:t xml:space="preserve">, 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Non-stationarity</w:t>
            </w:r>
            <w:r/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"/>
              </w:rPr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)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br/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Related R packages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</w:rPr>
              <w:t xml:space="preserve">Slides;</w:t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Style w:val="760"/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  <w:t xml:space="preserve">https://www.econometrics-with-r.org/15-eodce.html</w:t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</w:rPr>
              <w:t xml:space="preserve">Stock and Watson, ch. 16</w:t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/>
                <w:iCs/>
                <w:color w:val="000000" w:themeColor="dark1"/>
                <w:sz w:val="20"/>
                <w:szCs w:val="20"/>
              </w:rPr>
              <w:t xml:space="preserve">Repeat class examples in R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5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0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9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.03.202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  <w:lang w:val="en"/>
              </w:rPr>
              <w:t xml:space="preserve">5</w:t>
            </w: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</w:rPr>
              <w:t xml:space="preserve">. 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"/>
              </w:rPr>
              <w:t xml:space="preserve"> </w:t>
            </w: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Linear Time Series (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ADL)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/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 </w:t>
            </w: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br/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Related R packages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</w:rPr>
              <w:t xml:space="preserve">Slides</w:t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</w:rPr>
              <w:t xml:space="preserve">https://www.econometrics-with-r.org/16.4-volatility-clustering-and-autoregressive-conditional-heteroskedasticity.html</w:t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/>
                <w:iCs/>
                <w:color w:val="000000" w:themeColor="dark1"/>
                <w:sz w:val="20"/>
                <w:szCs w:val="20"/>
              </w:rPr>
              <w:t xml:space="preserve">Stock and Watson, ch. 16 and ch. 17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/>
                <w:iCs/>
                <w:color w:val="000000" w:themeColor="dark1"/>
                <w:sz w:val="20"/>
                <w:szCs w:val="20"/>
              </w:rPr>
              <w:t xml:space="preserve">Repeat class examples in R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.03.202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  <w:lang w:val="en"/>
              </w:rPr>
              <w:t xml:space="preserve">6. </w:t>
            </w: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</w:rPr>
              <w:t xml:space="preserve">Time Series </w:t>
            </w: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  <w:lang w:val="en"/>
              </w:rPr>
              <w:t xml:space="preserve">(</w:t>
            </w: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</w:rPr>
              <w:t xml:space="preserve"> Volatility Clustering and Autoregressive</w:t>
            </w:r>
            <w:r/>
            <w:r>
              <w:rPr>
                <w:sz w:val="20"/>
                <w:szCs w:val="20"/>
              </w:rPr>
            </w:r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</w:rPr>
              <w:t xml:space="preserve">Conditional Heteroskedasticity)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  <w:lang w:val="en"/>
              </w:rPr>
            </w: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Drop in Session for Assignment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/>
                <w:iCs/>
              </w:rPr>
            </w:pPr>
            <w:r>
              <w:rPr>
                <w:rFonts w:ascii="Arial" w:hAnsi="Arial" w:cs="Arial"/>
                <w:b w:val="0"/>
                <w:bCs w:val="0"/>
                <w:i/>
                <w:iCs/>
                <w:color w:val="000000" w:themeColor="dark1"/>
                <w:sz w:val="20"/>
                <w:szCs w:val="20"/>
              </w:rPr>
              <w:t xml:space="preserve">Slides</w:t>
            </w:r>
            <w:r>
              <w:rPr>
                <w:i/>
                <w:iCs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textDirection w:val="lrTb"/>
            <w:noWrap w:val="false"/>
          </w:tcPr>
          <w:p>
            <w:pPr>
              <w:pStyle w:val="750"/>
              <w:pBdr/>
              <w:spacing w:after="160" w:before="0"/>
              <w:ind/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7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23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.03.202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"/>
              </w:rPr>
              <w:t xml:space="preserve">No lecture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"/>
              </w:rPr>
              <w:t xml:space="preserve">No seminar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textDirection w:val="lrTb"/>
            <w:noWrap w:val="false"/>
          </w:tcPr>
          <w:p>
            <w:pPr>
              <w:pStyle w:val="750"/>
              <w:pBdr/>
              <w:spacing w:after="160" w:before="0"/>
              <w:ind/>
              <w:rPr>
                <w:rFonts w:ascii="ariel" w:hAnsi="ariel"/>
                <w:b/>
                <w:bCs/>
                <w:i/>
                <w:iCs/>
              </w:rPr>
            </w:pPr>
            <w:r>
              <w:rPr>
                <w:rFonts w:ascii="ariel" w:hAnsi="ariel"/>
                <w:b/>
                <w:bCs/>
                <w:i/>
                <w:iCs/>
                <w:color w:val="f10d0c"/>
              </w:rPr>
              <w:t xml:space="preserve">Assignment 1 submission</w:t>
              <w:br/>
            </w:r>
            <w:r>
              <w:rPr>
                <w:rFonts w:ascii="ariel" w:hAnsi="ariel"/>
                <w:b/>
                <w:bCs/>
                <w:i/>
                <w:iCs/>
                <w:color w:val="f10d0c"/>
                <w:lang w:val="en"/>
              </w:rPr>
              <w:t xml:space="preserve">30</w:t>
            </w:r>
            <w:r>
              <w:rPr>
                <w:rFonts w:ascii="ariel" w:hAnsi="ariel"/>
                <w:b/>
                <w:bCs/>
                <w:i/>
                <w:iCs/>
                <w:color w:val="f10d0c"/>
              </w:rPr>
              <w:t xml:space="preserve">.0</w:t>
            </w:r>
            <w:r>
              <w:rPr>
                <w:rFonts w:ascii="ariel" w:hAnsi="ariel"/>
                <w:b/>
                <w:bCs/>
                <w:i/>
                <w:iCs/>
                <w:color w:val="f10d0c"/>
                <w:lang w:val="en"/>
              </w:rPr>
              <w:t xml:space="preserve">3</w:t>
            </w:r>
            <w:r>
              <w:rPr>
                <w:rFonts w:ascii="ariel" w:hAnsi="ariel"/>
                <w:b/>
                <w:bCs/>
                <w:i/>
                <w:iCs/>
                <w:color w:val="f10d0c"/>
              </w:rPr>
              <w:t xml:space="preserve">.202</w:t>
            </w:r>
            <w:r>
              <w:rPr>
                <w:rFonts w:ascii="ariel" w:hAnsi="ariel"/>
                <w:b/>
                <w:bCs/>
                <w:i/>
                <w:iCs/>
                <w:color w:val="f10d0c"/>
                <w:lang w:val="en"/>
              </w:rPr>
              <w:t xml:space="preserve">6</w:t>
            </w:r>
            <w:r>
              <w:rPr>
                <w:rFonts w:ascii="ariel" w:hAnsi="ariel"/>
                <w:b/>
                <w:bCs/>
                <w:i/>
                <w:iCs/>
              </w:rPr>
            </w:r>
            <w:r>
              <w:rPr>
                <w:rFonts w:ascii="ariel" w:hAnsi="ariel"/>
                <w:b/>
                <w:bCs/>
                <w:i/>
                <w:iCs/>
              </w:rPr>
            </w:r>
          </w:p>
          <w:p>
            <w:pPr>
              <w:pStyle w:val="750"/>
              <w:pBdr/>
              <w:spacing w:after="160" w:before="0"/>
              <w:ind/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Week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2</w:t>
            </w:r>
            <w:r>
              <w:rPr>
                <w:rFonts w:ascii="Arial" w:hAnsi="Arial"/>
                <w:b/>
                <w:bCs/>
                <w:sz w:val="20"/>
                <w:szCs w:val="20"/>
                <w:lang w:val="en"/>
              </w:rPr>
              <w:t xml:space="preserve">8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.03.202</w:t>
            </w:r>
            <w:r>
              <w:rPr>
                <w:rFonts w:ascii="Arial" w:hAnsi="Arial"/>
                <w:b/>
                <w:bCs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to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en"/>
              </w:rPr>
              <w:t xml:space="preserve">13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.04.202</w:t>
            </w:r>
            <w:r>
              <w:rPr>
                <w:rFonts w:ascii="Arial" w:hAnsi="Arial"/>
                <w:b/>
                <w:bCs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12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/>
                <w:bCs w:val="0"/>
                <w:color w:val="000000" w:themeColor="dark1"/>
                <w:sz w:val="20"/>
                <w:szCs w:val="20"/>
              </w:rPr>
              <w:t xml:space="preserve">Easter Holiday</w:t>
            </w:r>
            <w:r>
              <w:rPr>
                <w:rFonts w:ascii="Arial" w:hAnsi="Arial" w:cs="Arial"/>
                <w:b/>
                <w:color w:val="000000" w:themeColor="dark1"/>
                <w:sz w:val="20"/>
                <w:szCs w:val="20"/>
              </w:rPr>
            </w:r>
          </w:p>
        </w:tc>
      </w:tr>
      <w:tr>
        <w:trPr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vMerge w:val="restart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8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0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4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vMerge w:val="restart"/>
            <w:textDirection w:val="lrTb"/>
            <w:noWrap w:val="false"/>
          </w:tcPr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  <w:lang w:val="en"/>
              </w:rPr>
              <w:t xml:space="preserve">7</w:t>
            </w: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</w:rPr>
              <w:t xml:space="preserve">. Impatience</w:t>
            </w:r>
            <w:r>
              <w:rPr>
                <w:sz w:val="20"/>
                <w:szCs w:val="20"/>
              </w:rPr>
            </w:r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vMerge w:val="restart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 </w:t>
            </w: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br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</w:rPr>
              <w:t xml:space="preserve">Time Value of Money and Present Value</w:t>
            </w:r>
            <w:r/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vMerge w:val="restart"/>
            <w:textDirection w:val="lrTb"/>
            <w:noWrap w:val="false"/>
          </w:tcPr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</w:rPr>
              <w:t xml:space="preserve">Slides</w:t>
            </w: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vMerge w:val="restart"/>
            <w:textDirection w:val="lrTb"/>
            <w:noWrap w:val="false"/>
          </w:tcPr>
          <w:p>
            <w:pPr>
              <w:pStyle w:val="750"/>
              <w:pBdr/>
              <w:spacing w:after="160" w:before="0"/>
              <w:ind/>
              <w:rPr>
                <w:rFonts w:ascii="ariel" w:hAnsi="ariel"/>
                <w:b/>
                <w:bCs/>
                <w:i/>
                <w:iCs/>
              </w:rPr>
            </w:pPr>
            <w:r>
              <w:rPr>
                <w:rFonts w:ascii="ariel" w:hAnsi="ariel"/>
                <w:b/>
                <w:bCs/>
                <w:i/>
                <w:iCs/>
                <w:color w:val="f10d0c"/>
              </w:rPr>
            </w:r>
            <w:r>
              <w:rPr>
                <w:rFonts w:ascii="ariel" w:hAnsi="ariel"/>
                <w:b/>
                <w:bCs/>
                <w:i/>
                <w:iCs/>
              </w:rPr>
            </w:r>
            <w:r>
              <w:rPr>
                <w:rFonts w:ascii="ariel" w:hAnsi="ariel"/>
                <w:b/>
                <w:bCs/>
                <w:i/>
                <w:iCs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9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7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.04.202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  <w:lang w:val="en"/>
              </w:rPr>
              <w:t xml:space="preserve">8</w:t>
            </w:r>
            <w:r>
              <w:rPr>
                <w:rFonts w:ascii="Arial" w:hAnsi="Arial" w:cs="Arial"/>
                <w:b w:val="0"/>
                <w:bCs w:val="0"/>
                <w:iCs/>
                <w:color w:val="000000" w:themeColor="dark1"/>
                <w:sz w:val="20"/>
                <w:szCs w:val="20"/>
              </w:rPr>
              <w:t xml:space="preserve">. Uncertainty, Risk Aversion and Expected Utility, Arrow Securities and States of Nature</w:t>
            </w:r>
            <w:r>
              <w:rPr>
                <w:sz w:val="20"/>
                <w:szCs w:val="20"/>
              </w:rPr>
            </w:r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63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/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CAPM with Quadratic Utilities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</w:rPr>
              <w:t xml:space="preserve">Slides</w:t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textDirection w:val="lrTb"/>
            <w:noWrap w:val="false"/>
          </w:tcPr>
          <w:p>
            <w:pPr>
              <w:pStyle w:val="750"/>
              <w:pBdr/>
              <w:spacing w:after="160" w:before="0"/>
              <w:ind/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10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04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5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"/>
              </w:rPr>
              <w:t xml:space="preserve">9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  <w:t xml:space="preserve">. Markovitz and Diversification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  <w:t xml:space="preserve">Testing CAPM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Related R packages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i w:val="0"/>
                <w:iCs w:val="0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color w:val="000000" w:themeColor="dark1"/>
                <w:sz w:val="20"/>
                <w:szCs w:val="20"/>
              </w:rPr>
              <w:t xml:space="preserve">Slides</w:t>
            </w:r>
            <w:r>
              <w:rPr>
                <w:i w:val="0"/>
                <w:iCs w:val="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textDirection w:val="lrTb"/>
            <w:noWrap w:val="false"/>
          </w:tcPr>
          <w:p>
            <w:pPr>
              <w:pStyle w:val="750"/>
              <w:pBdr/>
              <w:spacing w:after="160" w:before="0"/>
              <w:ind/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11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11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.05.202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left"/>
              <w:rPr>
                <w:rFonts w:ascii="Arial" w:hAnsi="Arial" w:eastAsia="Calibri" w:cs="Arial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  <w:t xml:space="preserve">1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"/>
              </w:rPr>
              <w:t xml:space="preserve">0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  <w:t xml:space="preserve">. The Capital Asset Pricing Model from a Mean Variance Perspective, Sharpe Ratio of a Portfolio</w:t>
            </w:r>
            <w:r>
              <w:rPr>
                <w:rFonts w:ascii="Arial" w:hAnsi="Arial" w:eastAsia="Calibri" w:cs="Arial"/>
                <w:sz w:val="20"/>
                <w:szCs w:val="20"/>
                <w:lang w:val="en-GB" w:eastAsia="en-US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left"/>
              <w:rPr>
                <w:rFonts w:ascii="Arial" w:hAnsi="Arial" w:eastAsia="Calibri" w:cs="Arial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val="en-GB" w:eastAsia="en-US" w:bidi="ar-SA"/>
              </w:rPr>
            </w:r>
            <w:r>
              <w:rPr>
                <w:rFonts w:ascii="Arial" w:hAnsi="Arial" w:eastAsia="Calibri" w:cs="Arial"/>
                <w:sz w:val="20"/>
                <w:szCs w:val="20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  <w:t xml:space="preserve">Testing CAPM</w:t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 w:themeColor="dark1"/>
                <w:sz w:val="20"/>
                <w:szCs w:val="20"/>
                <w:lang w:val="en-GB" w:eastAsia="en-US" w:bidi="ar-SA"/>
              </w:rPr>
              <w:t xml:space="preserve">Related R packages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Slides</w:t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 w:val="0"/>
                <w:bCs w:val="0"/>
                <w:color w:val="000000" w:themeColor="dark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textDirection w:val="lrTb"/>
            <w:noWrap w:val="false"/>
          </w:tcPr>
          <w:p>
            <w:pPr>
              <w:pStyle w:val="750"/>
              <w:pBdr/>
              <w:spacing w:after="160" w:before="0"/>
              <w:ind/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12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8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.05.202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Calibri" w:hAnsi="Calibri" w:eastAsia="Calibri"/>
                <w:color w:val="auto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/>
                <w:color w:val="auto"/>
                <w:sz w:val="22"/>
                <w:szCs w:val="22"/>
                <w:lang w:val="en-GB" w:eastAsia="en-US" w:bidi="ar-SA"/>
              </w:rPr>
              <w:t xml:space="preserve">1</w:t>
            </w:r>
            <w:r>
              <w:rPr>
                <w:rFonts w:eastAsia="Calibri"/>
                <w:color w:val="auto"/>
                <w:sz w:val="22"/>
                <w:szCs w:val="22"/>
                <w:lang w:val="en"/>
              </w:rPr>
              <w:t xml:space="preserve">1</w:t>
            </w:r>
            <w:r>
              <w:rPr>
                <w:rFonts w:eastAsia="Calibri"/>
                <w:color w:val="auto"/>
                <w:sz w:val="22"/>
                <w:szCs w:val="22"/>
                <w:lang w:val="en-GB" w:eastAsia="en-US" w:bidi="ar-SA"/>
              </w:rPr>
              <w:t xml:space="preserve">. </w:t>
            </w:r>
            <w:r>
              <w:rPr>
                <w:rFonts w:eastAsia="Calibri"/>
                <w:color w:val="auto"/>
                <w:sz w:val="22"/>
                <w:szCs w:val="22"/>
                <w:lang w:val="en"/>
              </w:rPr>
              <w:t xml:space="preserve">Trading strategies</w:t>
            </w:r>
            <w:r>
              <w:rPr>
                <w:rFonts w:ascii="Calibri" w:hAnsi="Calibri" w:eastAsia="Calibri"/>
                <w:color w:val="auto"/>
                <w:sz w:val="22"/>
                <w:szCs w:val="22"/>
                <w:lang w:val="en-GB" w:eastAsia="en-US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lang w:val="en-GB" w:eastAsia="en-US" w:bidi="ar-SA"/>
              </w:rPr>
              <w:t xml:space="preserve">Drop in Session for Assignment 2</w:t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Calibri" w:hAnsi="Calibri" w:eastAsia="Calibri"/>
                <w:color w:val="auto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/>
                <w:color w:val="auto"/>
                <w:sz w:val="22"/>
                <w:szCs w:val="22"/>
                <w:lang w:val="en-GB" w:eastAsia="en-US" w:bidi="ar-SA"/>
              </w:rPr>
            </w:r>
            <w:r>
              <w:rPr>
                <w:rFonts w:ascii="Calibri" w:hAnsi="Calibri" w:eastAsia="Calibri"/>
                <w:color w:val="auto"/>
                <w:sz w:val="22"/>
                <w:szCs w:val="22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Calibri" w:hAnsi="Calibri" w:eastAsia="Calibri"/>
                <w:color w:val="auto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n-GB" w:eastAsia="en-US" w:bidi="ar-SA"/>
              </w:rPr>
            </w:r>
            <w:r>
              <w:rPr>
                <w:rFonts w:ascii="Calibri" w:hAnsi="Calibri" w:eastAsia="Calibri"/>
                <w:color w:val="auto"/>
                <w:sz w:val="20"/>
                <w:szCs w:val="20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Calibri" w:hAnsi="Calibri" w:eastAsia="Calibri"/>
                <w:color w:val="auto"/>
                <w:sz w:val="20"/>
                <w:szCs w:val="20"/>
                <w:lang w:val="en-GB" w:eastAsia="en-US" w:bidi="ar-SA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n-GB" w:eastAsia="en-US" w:bidi="ar-SA"/>
              </w:rPr>
              <w:t xml:space="preserve">Slides</w:t>
            </w:r>
            <w:r>
              <w:rPr>
                <w:rFonts w:ascii="Calibri" w:hAnsi="Calibri" w:eastAsia="Calibri"/>
                <w:color w:val="auto"/>
                <w:sz w:val="20"/>
                <w:szCs w:val="20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Calibri" w:hAnsi="Calibri" w:eastAsia="Calibri"/>
                <w:color w:val="auto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/>
                <w:color w:val="auto"/>
                <w:sz w:val="22"/>
                <w:szCs w:val="22"/>
                <w:lang w:val="en-GB" w:eastAsia="en-US" w:bidi="ar-SA"/>
              </w:rPr>
            </w:r>
            <w:r>
              <w:rPr>
                <w:rFonts w:ascii="Calibri" w:hAnsi="Calibri" w:eastAsia="Calibri"/>
                <w:color w:val="auto"/>
                <w:sz w:val="22"/>
                <w:szCs w:val="22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750"/>
              <w:widowControl w:val="false"/>
              <w:pBdr/>
              <w:bidi w:val="false"/>
              <w:spacing w:after="0" w:before="0" w:line="240" w:lineRule="auto"/>
              <w:ind w:right="0" w:firstLine="0"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160" w:before="0" w:line="240" w:lineRule="auto"/>
              <w:ind/>
              <w:jc w:val="center"/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</w:rPr>
              <w:t xml:space="preserve">Assignment 2 submission</w:t>
              <w:br/>
            </w:r>
            <w:r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  <w:lang w:val="en"/>
              </w:rPr>
              <w:t xml:space="preserve">25</w:t>
            </w:r>
            <w:r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</w:rPr>
              <w:t xml:space="preserve">.05.202</w:t>
            </w:r>
            <w:r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</w:rPr>
            </w:r>
          </w:p>
          <w:p>
            <w:pPr>
              <w:pStyle w:val="750"/>
              <w:pBdr/>
              <w:spacing w:after="160" w:before="0"/>
              <w:ind/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i/>
                <w:iCs/>
                <w:color w:val="000000" w:themeColor="dark1"/>
                <w:sz w:val="20"/>
                <w:szCs w:val="20"/>
              </w:rPr>
            </w:r>
          </w:p>
        </w:tc>
      </w:tr>
      <w:tr>
        <w:trPr>
          <w:cantSplit/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8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Week 1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3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25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.05.202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"/>
              </w:rPr>
              <w:t xml:space="preserve">6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2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42" w:type="dxa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</w:p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pP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  <w:r>
              <w:rPr>
                <w:rFonts w:ascii="Arial" w:hAnsi="Arial" w:eastAsia="Calibri" w:cs="Arial"/>
                <w:b w:val="0"/>
                <w:bCs/>
                <w:i w:val="0"/>
                <w:iCs w:val="0"/>
                <w:color w:val="000000"/>
                <w:sz w:val="20"/>
                <w:szCs w:val="20"/>
                <w:lang w:val="en-GB" w:eastAsia="en-US" w:bidi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65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0" w:before="0" w:line="240" w:lineRule="auto"/>
              <w:ind/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43" w:type="dxa"/>
            <w:vAlign w:val="center"/>
            <w:textDirection w:val="lrTb"/>
            <w:noWrap w:val="false"/>
          </w:tcPr>
          <w:p>
            <w:pPr>
              <w:pStyle w:val="750"/>
              <w:widowControl w:val="false"/>
              <w:pBdr/>
              <w:spacing w:after="160" w:before="0" w:line="240" w:lineRule="auto"/>
              <w:ind/>
              <w:jc w:val="center"/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i/>
                <w:iCs/>
                <w:color w:val="f10d0c"/>
                <w:sz w:val="20"/>
                <w:szCs w:val="20"/>
              </w:rPr>
            </w:r>
          </w:p>
        </w:tc>
      </w:tr>
    </w:tbl>
    <w:p>
      <w:pPr>
        <w:pStyle w:val="750"/>
        <w:pBdr/>
        <w:spacing/>
        <w:ind/>
        <w:rPr/>
      </w:pPr>
      <w:r/>
      <w:r/>
    </w:p>
    <w:p>
      <w:pPr>
        <w:pStyle w:val="750"/>
        <w:widowControl w:val="true"/>
        <w:pBdr/>
        <w:bidi w:val="false"/>
        <w:spacing w:after="160" w:before="0" w:line="259" w:lineRule="auto"/>
        <w:ind/>
        <w:jc w:val="left"/>
        <w:rPr/>
      </w:pPr>
      <w:r>
        <w:br/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h="11906" w:orient="landscape" w:w="16838"/>
      <w:pgMar w:top="1134" w:right="1440" w:bottom="1134" w:left="144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el">
    <w:panose1 w:val="05040102010807070707"/>
  </w:font>
  <w:font w:name="Noto Sans CJK SC">
    <w:panose1 w:val="020B0500000000000000"/>
  </w:font>
  <w:font w:name="Lohit Devanagari">
    <w:panose1 w:val="05040102010807070707"/>
  </w:font>
  <w:font w:name="Liberation Sans">
    <w:panose1 w:val="020B0604020202020204"/>
  </w:font>
  <w:font w:name="Arial">
    <w:panose1 w:val="020B0604020202020204"/>
  </w:font>
  <w:font w:name="DejaVu Sans">
    <w:panose1 w:val="020B06030308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9"/>
      <w:pBdr/>
      <w:spacing/>
      <w:ind/>
      <w:jc w:val="right"/>
      <w:rPr>
        <w:rFonts w:ascii="Arial" w:hAnsi="Arial" w:cs="Arial"/>
      </w:rPr>
    </w:pPr>
    <w:r>
      <w:rPr>
        <w:rFonts w:ascii="Arial" w:hAnsi="Arial" w:cs="Arial"/>
      </w:rPr>
    </w:r>
    <w:r>
      <w:rPr>
        <w:rFonts w:ascii="Arial" w:hAnsi="Arial" w:cs="Arial"/>
      </w:rPr>
    </w:r>
  </w:p>
  <w:p>
    <w:pPr>
      <w:pStyle w:val="769"/>
      <w:pBdr/>
      <w:tabs>
        <w:tab w:val="center" w:leader="none" w:pos="4513"/>
        <w:tab w:val="right" w:leader="none" w:pos="9026"/>
        <w:tab w:val="right" w:leader="none" w:pos="13958"/>
      </w:tabs>
      <w:spacing/>
      <w:ind/>
      <w:rPr>
        <w:rFonts w:ascii="Arial" w:hAnsi="Arial" w:cs="Arial"/>
      </w:rPr>
    </w:pPr>
    <w:r>
      <w:rPr>
        <w:rFonts w:ascii="Arial" w:hAnsi="Arial" w:cs="Arial"/>
      </w:rPr>
      <w:t xml:space="preserve">University of Brighton, 202</w:t>
    </w:r>
    <w:r>
      <w:rPr>
        <w:rFonts w:ascii="Arial" w:hAnsi="Arial" w:cs="Arial"/>
        <w:lang w:val="en"/>
      </w:rPr>
      <w:t xml:space="preserve">5</w:t>
    </w:r>
    <w:r>
      <w:rPr>
        <w:rFonts w:ascii="Arial" w:hAnsi="Arial" w:cs="Arial"/>
      </w:rPr>
      <w:t xml:space="preserve">-2</w:t>
    </w:r>
    <w:r>
      <w:rPr>
        <w:rFonts w:ascii="Arial" w:hAnsi="Arial" w:cs="Arial"/>
        <w:lang w:val="en"/>
      </w:rPr>
      <w:t xml:space="preserve">6</w:t>
    </w:r>
    <w:r>
      <w:rPr>
        <w:rFonts w:ascii="Arial" w:hAnsi="Arial" w:cs="Arial"/>
      </w:rPr>
      <w:tab/>
      <w:tab/>
      <w:tab/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 xml:space="preserve">4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</w:r>
  </w:p>
  <w:p>
    <w:pPr>
      <w:pStyle w:val="769"/>
      <w:pBdr/>
      <w:spacing/>
      <w:ind/>
      <w:rPr>
        <w:rFonts w:ascii="Arial" w:hAnsi="Arial" w:cs="Arial"/>
      </w:rPr>
    </w:pPr>
    <w:r>
      <w:rPr>
        <w:rFonts w:ascii="Arial" w:hAnsi="Arial" w:cs="Arial"/>
      </w:rPr>
    </w:r>
    <w:r>
      <w:rPr>
        <w:rFonts w:ascii="Arial" w:hAnsi="Arial" w:cs="Arial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9"/>
      <w:pBdr/>
      <w:spacing/>
      <w:ind/>
      <w:jc w:val="right"/>
      <w:rPr>
        <w:rFonts w:ascii="Arial" w:hAnsi="Arial" w:cs="Arial"/>
      </w:rPr>
    </w:pPr>
    <w:r>
      <w:rPr>
        <w:rFonts w:ascii="Arial" w:hAnsi="Arial" w:cs="Arial"/>
      </w:rPr>
    </w:r>
    <w:r>
      <w:rPr>
        <w:rFonts w:ascii="Arial" w:hAnsi="Arial" w:cs="Arial"/>
      </w:rPr>
    </w:r>
  </w:p>
  <w:p>
    <w:pPr>
      <w:pStyle w:val="769"/>
      <w:pBdr/>
      <w:tabs>
        <w:tab w:val="center" w:leader="none" w:pos="4513"/>
        <w:tab w:val="right" w:leader="none" w:pos="9026"/>
        <w:tab w:val="right" w:leader="none" w:pos="13958"/>
      </w:tabs>
      <w:spacing/>
      <w:ind/>
      <w:rPr>
        <w:rFonts w:ascii="Arial" w:hAnsi="Arial" w:cs="Arial"/>
      </w:rPr>
    </w:pPr>
    <w:r>
      <w:rPr>
        <w:rFonts w:ascii="Arial" w:hAnsi="Arial" w:cs="Arial"/>
      </w:rPr>
      <w:t xml:space="preserve">University of Brighton, 2024-25</w:t>
      <w:tab/>
      <w:tab/>
      <w:tab/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 xml:space="preserve">4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</w:r>
  </w:p>
  <w:p>
    <w:pPr>
      <w:pStyle w:val="769"/>
      <w:pBdr/>
      <w:spacing/>
      <w:ind/>
      <w:rPr>
        <w:rFonts w:ascii="Arial" w:hAnsi="Arial" w:cs="Arial"/>
      </w:rPr>
    </w:pPr>
    <w:r>
      <w:rPr>
        <w:rFonts w:ascii="Arial" w:hAnsi="Arial" w:cs="Arial"/>
      </w:rPr>
    </w:r>
    <w:r>
      <w:rPr>
        <w:rFonts w:ascii="Arial" w:hAnsi="Arial" w:cs="Arial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8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8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8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DejaVu Sans"/>
        <w:szCs w:val="22"/>
        <w:lang w:val="en-GB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50"/>
    <w:next w:val="75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750"/>
    <w:next w:val="75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50"/>
    <w:next w:val="75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50"/>
    <w:next w:val="75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0"/>
    <w:next w:val="75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0"/>
    <w:next w:val="75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">
    <w:name w:val="Heading 3 Char"/>
    <w:basedOn w:val="75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4">
    <w:name w:val="Heading 5 Char"/>
    <w:basedOn w:val="75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50"/>
    <w:next w:val="75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5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0"/>
    <w:next w:val="75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5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0"/>
    <w:next w:val="75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5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0"/>
    <w:next w:val="75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75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75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0"/>
    <w:next w:val="750"/>
    <w:uiPriority w:val="39"/>
    <w:unhideWhenUsed/>
    <w:pPr>
      <w:pBdr/>
      <w:spacing w:after="100"/>
      <w:ind/>
    </w:pPr>
  </w:style>
  <w:style w:type="paragraph" w:styleId="190">
    <w:name w:val="toc 2"/>
    <w:basedOn w:val="750"/>
    <w:next w:val="750"/>
    <w:uiPriority w:val="39"/>
    <w:unhideWhenUsed/>
    <w:pPr>
      <w:pBdr/>
      <w:spacing w:after="100"/>
      <w:ind w:left="220"/>
    </w:pPr>
  </w:style>
  <w:style w:type="paragraph" w:styleId="191">
    <w:name w:val="toc 3"/>
    <w:basedOn w:val="750"/>
    <w:next w:val="750"/>
    <w:uiPriority w:val="39"/>
    <w:unhideWhenUsed/>
    <w:pPr>
      <w:pBdr/>
      <w:spacing w:after="100"/>
      <w:ind w:left="440"/>
    </w:pPr>
  </w:style>
  <w:style w:type="paragraph" w:styleId="192">
    <w:name w:val="toc 4"/>
    <w:basedOn w:val="750"/>
    <w:next w:val="750"/>
    <w:uiPriority w:val="39"/>
    <w:unhideWhenUsed/>
    <w:pPr>
      <w:pBdr/>
      <w:spacing w:after="100"/>
      <w:ind w:left="660"/>
    </w:pPr>
  </w:style>
  <w:style w:type="paragraph" w:styleId="193">
    <w:name w:val="toc 5"/>
    <w:basedOn w:val="750"/>
    <w:next w:val="750"/>
    <w:uiPriority w:val="39"/>
    <w:unhideWhenUsed/>
    <w:pPr>
      <w:pBdr/>
      <w:spacing w:after="100"/>
      <w:ind w:left="880"/>
    </w:pPr>
  </w:style>
  <w:style w:type="paragraph" w:styleId="194">
    <w:name w:val="toc 6"/>
    <w:basedOn w:val="750"/>
    <w:next w:val="750"/>
    <w:uiPriority w:val="39"/>
    <w:unhideWhenUsed/>
    <w:pPr>
      <w:pBdr/>
      <w:spacing w:after="100"/>
      <w:ind w:left="1100"/>
    </w:pPr>
  </w:style>
  <w:style w:type="paragraph" w:styleId="195">
    <w:name w:val="toc 7"/>
    <w:basedOn w:val="750"/>
    <w:next w:val="750"/>
    <w:uiPriority w:val="39"/>
    <w:unhideWhenUsed/>
    <w:pPr>
      <w:pBdr/>
      <w:spacing w:after="100"/>
      <w:ind w:left="1320"/>
    </w:pPr>
  </w:style>
  <w:style w:type="paragraph" w:styleId="196">
    <w:name w:val="toc 8"/>
    <w:basedOn w:val="750"/>
    <w:next w:val="750"/>
    <w:uiPriority w:val="39"/>
    <w:unhideWhenUsed/>
    <w:pPr>
      <w:pBdr/>
      <w:spacing w:after="100"/>
      <w:ind w:left="1540"/>
    </w:pPr>
  </w:style>
  <w:style w:type="paragraph" w:styleId="197">
    <w:name w:val="toc 9"/>
    <w:basedOn w:val="750"/>
    <w:next w:val="75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0"/>
    <w:next w:val="750"/>
    <w:uiPriority w:val="99"/>
    <w:unhideWhenUsed/>
    <w:pPr>
      <w:pBdr/>
      <w:spacing w:after="0" w:afterAutospacing="0"/>
      <w:ind/>
    </w:pPr>
  </w:style>
  <w:style w:type="paragraph" w:styleId="750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cs="DejaVu Sans"/>
      <w:color w:val="auto"/>
      <w:sz w:val="22"/>
      <w:szCs w:val="22"/>
      <w:lang w:val="en-GB" w:eastAsia="en-US" w:bidi="ar-SA"/>
    </w:rPr>
  </w:style>
  <w:style w:type="paragraph" w:styleId="751">
    <w:name w:val="Heading 1"/>
    <w:basedOn w:val="750"/>
    <w:next w:val="750"/>
    <w:link w:val="757"/>
    <w:qFormat/>
    <w:pPr>
      <w:keepNext w:val="true"/>
      <w:keepLines w:val="true"/>
      <w:pBdr/>
      <w:spacing w:after="0" w:before="240"/>
      <w:ind/>
      <w:outlineLvl w:val="0"/>
    </w:pPr>
    <w:rPr>
      <w:rFonts w:ascii="Arial" w:hAnsi="Arial" w:eastAsia="Calibri" w:cs="DejaVu Sans"/>
      <w:b/>
      <w:sz w:val="32"/>
      <w:szCs w:val="32"/>
    </w:rPr>
  </w:style>
  <w:style w:type="paragraph" w:styleId="752">
    <w:name w:val="Heading 2"/>
    <w:basedOn w:val="750"/>
    <w:next w:val="750"/>
    <w:link w:val="756"/>
    <w:qFormat/>
    <w:pPr>
      <w:keepNext w:val="true"/>
      <w:keepLines w:val="true"/>
      <w:pBdr/>
      <w:spacing w:after="0" w:before="40"/>
      <w:ind/>
      <w:outlineLvl w:val="1"/>
    </w:pPr>
    <w:rPr>
      <w:rFonts w:ascii="Arial" w:hAnsi="Arial" w:eastAsia="Calibri" w:cs="DejaVu Sans"/>
      <w:b/>
      <w:sz w:val="28"/>
      <w:szCs w:val="26"/>
    </w:rPr>
  </w:style>
  <w:style w:type="paragraph" w:styleId="753">
    <w:name w:val="Heading 4"/>
    <w:basedOn w:val="752"/>
    <w:next w:val="750"/>
    <w:link w:val="755"/>
    <w:qFormat/>
    <w:pPr>
      <w:pBdr/>
      <w:spacing w:after="240" w:before="120" w:line="240" w:lineRule="auto"/>
      <w:ind/>
      <w:outlineLvl w:val="3"/>
    </w:pPr>
    <w:rPr>
      <w:b w:val="0"/>
      <w:szCs w:val="28"/>
      <w:lang w:eastAsia="en-GB"/>
    </w:rPr>
  </w:style>
  <w:style w:type="character" w:styleId="754" w:default="1">
    <w:name w:val="Default Paragraph Font"/>
    <w:qFormat/>
    <w:pPr>
      <w:pBdr/>
      <w:spacing/>
      <w:ind/>
    </w:pPr>
  </w:style>
  <w:style w:type="character" w:styleId="755">
    <w:name w:val="Heading 4 Char"/>
    <w:basedOn w:val="754"/>
    <w:link w:val="753"/>
    <w:qFormat/>
    <w:pPr>
      <w:pBdr/>
      <w:spacing/>
      <w:ind/>
    </w:pPr>
    <w:rPr>
      <w:rFonts w:ascii="Arial" w:hAnsi="Arial" w:eastAsia="Calibri" w:cs="DejaVu Sans"/>
      <w:b/>
      <w:sz w:val="28"/>
      <w:szCs w:val="28"/>
      <w:lang w:eastAsia="en-GB"/>
    </w:rPr>
  </w:style>
  <w:style w:type="character" w:styleId="756">
    <w:name w:val="Heading 2 Char"/>
    <w:basedOn w:val="754"/>
    <w:link w:val="752"/>
    <w:qFormat/>
    <w:pPr>
      <w:pBdr/>
      <w:spacing/>
      <w:ind/>
    </w:pPr>
    <w:rPr>
      <w:rFonts w:ascii="Arial" w:hAnsi="Arial" w:eastAsia="Calibri" w:cs="DejaVu Sans"/>
      <w:b/>
      <w:sz w:val="28"/>
      <w:szCs w:val="26"/>
    </w:rPr>
  </w:style>
  <w:style w:type="character" w:styleId="757">
    <w:name w:val="Heading 1 Char"/>
    <w:basedOn w:val="754"/>
    <w:link w:val="751"/>
    <w:qFormat/>
    <w:pPr>
      <w:pBdr/>
      <w:spacing/>
      <w:ind/>
    </w:pPr>
    <w:rPr>
      <w:rFonts w:ascii="Arial" w:hAnsi="Arial" w:eastAsia="Calibri" w:cs="DejaVu Sans"/>
      <w:b/>
      <w:sz w:val="32"/>
      <w:szCs w:val="32"/>
    </w:rPr>
  </w:style>
  <w:style w:type="character" w:styleId="758">
    <w:name w:val="Header Char"/>
    <w:basedOn w:val="754"/>
    <w:link w:val="768"/>
    <w:qFormat/>
    <w:pPr>
      <w:pBdr/>
      <w:spacing/>
      <w:ind/>
    </w:pPr>
  </w:style>
  <w:style w:type="character" w:styleId="759">
    <w:name w:val="Footer Char"/>
    <w:basedOn w:val="754"/>
    <w:link w:val="769"/>
    <w:qFormat/>
    <w:pPr>
      <w:pBdr/>
      <w:spacing/>
      <w:ind/>
    </w:pPr>
  </w:style>
  <w:style w:type="character" w:styleId="760">
    <w:name w:val="Hyperlink"/>
    <w:pPr>
      <w:pBdr/>
      <w:spacing/>
      <w:ind/>
    </w:pPr>
    <w:rPr>
      <w:color w:val="000080"/>
      <w:u w:val="single"/>
    </w:rPr>
  </w:style>
  <w:style w:type="character" w:styleId="761">
    <w:name w:val="Emphasis"/>
    <w:qFormat/>
    <w:pPr>
      <w:pBdr/>
      <w:spacing/>
      <w:ind/>
    </w:pPr>
    <w:rPr>
      <w:i/>
      <w:iCs/>
    </w:rPr>
  </w:style>
  <w:style w:type="paragraph" w:styleId="762">
    <w:name w:val="Heading"/>
    <w:basedOn w:val="750"/>
    <w:next w:val="763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63">
    <w:name w:val="Body Text"/>
    <w:basedOn w:val="750"/>
    <w:pPr>
      <w:pBdr/>
      <w:spacing w:after="140" w:before="0" w:line="276" w:lineRule="auto"/>
      <w:ind/>
    </w:pPr>
  </w:style>
  <w:style w:type="paragraph" w:styleId="764">
    <w:name w:val="List"/>
    <w:basedOn w:val="763"/>
    <w:pPr>
      <w:pBdr/>
      <w:spacing/>
      <w:ind/>
    </w:pPr>
    <w:rPr>
      <w:rFonts w:cs="Lohit Devanagari"/>
    </w:rPr>
  </w:style>
  <w:style w:type="paragraph" w:styleId="765">
    <w:name w:val="Caption"/>
    <w:basedOn w:val="750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66">
    <w:name w:val="Index"/>
    <w:basedOn w:val="750"/>
    <w:qFormat/>
    <w:pPr>
      <w:suppressLineNumbers w:val="true"/>
      <w:pBdr/>
      <w:spacing/>
      <w:ind/>
    </w:pPr>
    <w:rPr>
      <w:rFonts w:cs="Lohit Devanagari"/>
    </w:rPr>
  </w:style>
  <w:style w:type="paragraph" w:styleId="767">
    <w:name w:val="Header and Footer"/>
    <w:basedOn w:val="750"/>
    <w:qFormat/>
    <w:pPr>
      <w:pBdr/>
      <w:spacing/>
      <w:ind/>
    </w:pPr>
  </w:style>
  <w:style w:type="paragraph" w:styleId="768">
    <w:name w:val="Header"/>
    <w:basedOn w:val="750"/>
    <w:link w:val="758"/>
    <w:pPr>
      <w:pBdr/>
      <w:tabs>
        <w:tab w:val="clear" w:leader="none" w:pos="720"/>
        <w:tab w:val="center" w:leader="none" w:pos="4513"/>
        <w:tab w:val="right" w:leader="none" w:pos="9026"/>
      </w:tabs>
      <w:spacing w:after="0" w:before="0" w:line="240" w:lineRule="auto"/>
      <w:ind/>
    </w:pPr>
  </w:style>
  <w:style w:type="paragraph" w:styleId="769">
    <w:name w:val="Footer"/>
    <w:basedOn w:val="750"/>
    <w:link w:val="759"/>
    <w:pPr>
      <w:pBdr/>
      <w:tabs>
        <w:tab w:val="clear" w:leader="none" w:pos="720"/>
        <w:tab w:val="center" w:leader="none" w:pos="4513"/>
        <w:tab w:val="right" w:leader="none" w:pos="9026"/>
      </w:tabs>
      <w:spacing w:after="0" w:before="0" w:line="240" w:lineRule="auto"/>
      <w:ind/>
    </w:pPr>
  </w:style>
  <w:style w:type="paragraph" w:styleId="770">
    <w:name w:val="Table Contents"/>
    <w:basedOn w:val="750"/>
    <w:qFormat/>
    <w:pPr>
      <w:suppressLineNumbers w:val="true"/>
      <w:pBdr/>
      <w:spacing/>
      <w:ind/>
    </w:pPr>
  </w:style>
  <w:style w:type="paragraph" w:styleId="771">
    <w:name w:val="Table Heading"/>
    <w:basedOn w:val="770"/>
    <w:qFormat/>
    <w:pPr>
      <w:suppressLineNumbers w:val="true"/>
      <w:pBdr/>
      <w:spacing/>
      <w:ind/>
      <w:jc w:val="center"/>
    </w:pPr>
    <w:rPr>
      <w:b/>
      <w:bCs/>
    </w:rPr>
  </w:style>
  <w:style w:type="numbering" w:styleId="772" w:default="1">
    <w:name w:val="No List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hyperlink" Target="https://www.econometrics-with-r.org/14-ittsraf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Walker</dc:creator>
  <dc:description/>
  <dc:language>en-GB</dc:language>
  <cp:revision>15</cp:revision>
  <dcterms:created xsi:type="dcterms:W3CDTF">2023-06-09T12:42:00Z</dcterms:created>
  <dcterms:modified xsi:type="dcterms:W3CDTF">2026-02-08T14:38:35Z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0x010100255A70D34DEC3A4EBE6423B09AF1228E00FF16728120822F4C84019CFF13B5FE03</vt:lpwstr>
  </property>
  <property fmtid="{D5CDD505-2E9C-101B-9397-08002B2CF9AE}" pid="3" name="Department Owner">
    <vt:lpwstr/>
  </property>
  <property fmtid="{D5CDD505-2E9C-101B-9397-08002B2CF9AE}" pid="4" name="Department_x0020_Owner">
    <vt:lpwstr/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Organisational unit coverage">
    <vt:lpwstr/>
  </property>
  <property fmtid="{D5CDD505-2E9C-101B-9397-08002B2CF9AE}" pid="8" name="Organisational_x0020_unit_x0020_coverage">
    <vt:lpwstr/>
  </property>
  <property fmtid="{D5CDD505-2E9C-101B-9397-08002B2CF9AE}" pid="9" name="ScaleCrop">
    <vt:bool>false</vt:bool>
  </property>
  <property fmtid="{D5CDD505-2E9C-101B-9397-08002B2CF9AE}" pid="10" name="ShareDoc">
    <vt:bool>false</vt:bool>
  </property>
  <property fmtid="{D5CDD505-2E9C-101B-9397-08002B2CF9AE}" pid="11" name="TaxCatchAll">
    <vt:lpwstr>11;#Digital learning|7d8df494-e317-46fa-9a33-6abff3a5f99f</vt:lpwstr>
  </property>
  <property fmtid="{D5CDD505-2E9C-101B-9397-08002B2CF9AE}" pid="12" name="TaxKeyword">
    <vt:lpwstr/>
  </property>
  <property fmtid="{D5CDD505-2E9C-101B-9397-08002B2CF9AE}" pid="13" name="TaxKeywordTaxHTField">
    <vt:lpwstr/>
  </property>
  <property fmtid="{D5CDD505-2E9C-101B-9397-08002B2CF9AE}" pid="14" name="Topic">
    <vt:lpwstr>11;#Digital learning|7d8df494-e317-46fa-9a33-6abff3a5f99f</vt:lpwstr>
  </property>
  <property fmtid="{D5CDD505-2E9C-101B-9397-08002B2CF9AE}" pid="15" name="c3306db5f7f64038b89e2bfc8215e87b">
    <vt:lpwstr/>
  </property>
  <property fmtid="{D5CDD505-2E9C-101B-9397-08002B2CF9AE}" pid="16" name="i581938d62da43ab81a4aa751a3cb655">
    <vt:lpwstr/>
  </property>
  <property fmtid="{D5CDD505-2E9C-101B-9397-08002B2CF9AE}" pid="17" name="n0ee73a8e1264439b890776fcd9b9a14">
    <vt:lpwstr>Digital learning|7d8df494-e317-46fa-9a33-6abff3a5f99f</vt:lpwstr>
  </property>
</Properties>
</file>