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rPr>
          <w:sz w:val="22"/>
        </w:rPr>
        <w:t xml:space="preserve">RELX PLC is a FTSE 100 information analytics group, incorporated in England and listed in London, Amsterdam, and New York (RELX PLC, 2024). It runs four divisions: Risk (data analytics and decision tools, around 35% of 2024 revenue), Scientific, Technical and Medical (academic publishing and databases, roughly 30%), Legal (LexisNexis, approximately 26%), and Exhibitions (trade shows, 9%) (RELX PLC, 2024). About 75% of revenue comes through subscriptions, which makes the top line </w:t>
      </w:r>
      <w:r>
        <w:rPr>
          <w:sz w:val="22"/>
        </w:rPr>
        <w:t>quite</w:t>
      </w:r>
      <w:r>
        <w:rPr>
          <w:sz w:val="22"/>
        </w:rPr>
        <w:t xml:space="preserve"> predictable and gives management more forward visibility than most businesses of </w:t>
      </w:r>
      <w:r>
        <w:rPr>
          <w:sz w:val="22"/>
        </w:rPr>
        <w:t>similar</w:t>
      </w:r>
      <w:r>
        <w:rPr>
          <w:sz w:val="22"/>
        </w:rPr>
        <w:t xml:space="preserve"> size. Its main competitors are Thomson Reuters, Wolters Kluwer, and Clarivate.</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what you want to see.</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look</w:t>
      </w:r>
      <w:r w:rsidR="00B73B11">
        <w:rPr>
          <w:sz w:val="22"/>
        </w:rPr>
        <w:t xml:space="preserve"> a lot </w:t>
      </w:r>
      <w:r>
        <w:rPr>
          <w:sz w:val="22"/>
        </w:rPr>
        <w:t>less concerning.</w:t>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high leverage, particularly when most of the equity supporting it is goodwill</w:t>
      </w:r>
      <w:r w:rsidR="00B73B11">
        <w:rPr>
          <w:sz w:val="22"/>
        </w:rPr>
        <w:t>:</w:t>
      </w:r>
      <w:r>
        <w:rPr>
          <w:sz w:val="22"/>
        </w:rPr>
        <w:t xml:space="preserve"> £8.2bn, accumulated from past acquisitions (RELX PLC, 2024). Whether that goodwill holds its value under pressure is a question the ratios cannot answer.</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4. Conclusion</w:t>
      </w:r>
    </w:p>
    <w:p w14:paraId="2A63DD2B" w14:textId="53083DC7" w:rsidR="00F87251" w:rsidRDefault="00F87251" w:rsidP="00F87251">
      <w:pPr>
        <w:spacing w:line="360" w:lineRule="auto"/>
        <w:jc w:val="both"/>
        <w:rPr>
          <w:rFonts w:ascii="Times New Roman" w:hAnsi="Times New Roman" w:cs="Times New Roman"/>
        </w:rPr>
      </w:pPr>
      <w:r>
        <w:rPr>
          <w:sz w:val="22"/>
        </w:rPr>
        <w:t xml:space="preserve">RELX's profitability numbers over 2022-2024 make </w:t>
      </w:r>
      <w:r>
        <w:rPr>
          <w:sz w:val="22"/>
        </w:rPr>
        <w:t xml:space="preserve">quite </w:t>
      </w:r>
      <w:r>
        <w:rPr>
          <w:sz w:val="22"/>
        </w:rPr>
        <w:t>a straightforward case. ROCE rose from</w:t>
      </w:r>
      <w:r>
        <w:rPr>
          <w:sz w:val="22"/>
        </w:rPr>
        <w:t xml:space="preserve"> </w:t>
      </w:r>
      <w:r>
        <w:rPr>
          <w:sz w:val="22"/>
        </w:rPr>
        <w:t>21.8% to 30.4% and net profit margi</w:t>
      </w:r>
      <w:r>
        <w:rPr>
          <w:sz w:val="22"/>
        </w:rPr>
        <w:t xml:space="preserve">n </w:t>
      </w:r>
      <w:r>
        <w:rPr>
          <w:sz w:val="22"/>
        </w:rPr>
        <w:t>improved</w:t>
      </w:r>
      <w:r>
        <w:rPr>
          <w:sz w:val="22"/>
        </w:rPr>
        <w:t xml:space="preserve"> (</w:t>
      </w:r>
      <w:r>
        <w:rPr>
          <w:sz w:val="22"/>
        </w:rPr>
        <w:t xml:space="preserve">despite a </w:t>
      </w:r>
      <w:proofErr w:type="gramStart"/>
      <w:r>
        <w:rPr>
          <w:sz w:val="22"/>
        </w:rPr>
        <w:t>fairly large</w:t>
      </w:r>
      <w:proofErr w:type="gramEnd"/>
      <w:r>
        <w:rPr>
          <w:sz w:val="22"/>
        </w:rPr>
        <w:t xml:space="preserve"> tax increase</w:t>
      </w:r>
      <w:r>
        <w:rPr>
          <w:sz w:val="22"/>
        </w:rPr>
        <w:t>)</w:t>
      </w:r>
      <w:r>
        <w:rPr>
          <w:sz w:val="22"/>
        </w:rPr>
        <w:t xml:space="preserve">. </w:t>
      </w:r>
      <w:r>
        <w:rPr>
          <w:sz w:val="22"/>
        </w:rPr>
        <w:t>This means that t</w:t>
      </w:r>
      <w:r>
        <w:rPr>
          <w:sz w:val="22"/>
        </w:rPr>
        <w:t>he profitability picture is clear</w:t>
      </w:r>
      <w:r>
        <w:rPr>
          <w:sz w:val="22"/>
        </w:rPr>
        <w:t>.</w:t>
      </w:r>
    </w:p>
    <w:p w14:paraId="5428834D" w14:textId="4803E989" w:rsidR="00F87251" w:rsidRDefault="00F87251" w:rsidP="00F87251">
      <w:pPr>
        <w:spacing w:line="360" w:lineRule="auto"/>
        <w:jc w:val="both"/>
        <w:rPr>
          <w:rFonts w:ascii="Times New Roman" w:hAnsi="Times New Roman" w:cs="Times New Roman"/>
        </w:rPr>
      </w:pPr>
      <w:r>
        <w:rPr>
          <w:sz w:val="22"/>
        </w:rPr>
        <w:t xml:space="preserve">The liquidity ratios need more context. A current ratio of 0.52x and a quick ratio of 0.47x both look like problems until </w:t>
      </w:r>
      <w:proofErr w:type="spellStart"/>
      <w:r>
        <w:rPr>
          <w:sz w:val="22"/>
        </w:rPr>
        <w:t>you</w:t>
      </w:r>
      <w:proofErr w:type="spellEnd"/>
      <w:r>
        <w:rPr>
          <w:sz w:val="22"/>
        </w:rPr>
        <w:t xml:space="preserve"> account for the deferred subscription income sitting in current liabilities. Capital gearing at 60%, backed partly by goodwill, is the more </w:t>
      </w:r>
      <w:r>
        <w:rPr>
          <w:sz w:val="22"/>
        </w:rPr>
        <w:t xml:space="preserve">glaring </w:t>
      </w:r>
      <w:r>
        <w:rPr>
          <w:sz w:val="22"/>
        </w:rPr>
        <w:t>concern</w:t>
      </w:r>
      <w:r>
        <w:rPr>
          <w:sz w:val="22"/>
        </w:rPr>
        <w:t xml:space="preserve"> in my analysis</w:t>
      </w:r>
      <w:r>
        <w:rPr>
          <w:sz w:val="22"/>
        </w:rPr>
        <w:t>.</w:t>
      </w:r>
    </w:p>
    <w:p w14:paraId="31420228" w14:textId="6C9D164D" w:rsidR="00F87251" w:rsidRDefault="00F87251" w:rsidP="00F87251">
      <w:pPr>
        <w:spacing w:line="360" w:lineRule="auto"/>
        <w:jc w:val="both"/>
        <w:rPr>
          <w:sz w:val="22"/>
        </w:rPr>
      </w:pPr>
      <w:r>
        <w:rPr>
          <w:sz w:val="22"/>
        </w:rPr>
        <w:t>Standard ratio analysis was built around tangible-asset businesses with clear distinctions between cash and non-cash obligations</w:t>
      </w:r>
      <w:r>
        <w:rPr>
          <w:sz w:val="22"/>
        </w:rPr>
        <w:t xml:space="preserve"> and </w:t>
      </w:r>
      <w:r>
        <w:rPr>
          <w:sz w:val="22"/>
        </w:rPr>
        <w:t xml:space="preserve">RELX does not fit that model well. The deferred income complicates the liquidity </w:t>
      </w:r>
      <w:proofErr w:type="gramStart"/>
      <w:r>
        <w:rPr>
          <w:sz w:val="22"/>
        </w:rPr>
        <w:t>picture</w:t>
      </w:r>
      <w:proofErr w:type="gramEnd"/>
      <w:r>
        <w:rPr>
          <w:sz w:val="22"/>
        </w:rPr>
        <w:t xml:space="preserve"> and</w:t>
      </w:r>
      <w:r>
        <w:rPr>
          <w:sz w:val="22"/>
        </w:rPr>
        <w:t xml:space="preserve"> the goodwill complicates the gearing calculation. Taken in isolation, the numbers </w:t>
      </w:r>
      <w:r>
        <w:rPr>
          <w:sz w:val="22"/>
        </w:rPr>
        <w:t>could</w:t>
      </w:r>
      <w:r>
        <w:rPr>
          <w:sz w:val="22"/>
        </w:rPr>
        <w:t xml:space="preserve"> mislead</w:t>
      </w:r>
      <w:r>
        <w:rPr>
          <w:sz w:val="22"/>
        </w:rPr>
        <w:t xml:space="preserve"> but t</w:t>
      </w:r>
      <w:r>
        <w:rPr>
          <w:sz w:val="22"/>
        </w:rPr>
        <w:t>he ratios make more sense read alongside the company's own commentary on organic revenue growth and cash conversion</w:t>
      </w:r>
      <w:r>
        <w:rPr>
          <w:sz w:val="22"/>
        </w:rPr>
        <w:t>,</w:t>
      </w:r>
      <w:r>
        <w:rPr>
          <w:sz w:val="22"/>
        </w:rPr>
        <w:t xml:space="preserve"> information that does not appear in the headline numbers (RELX PLC, 2022, 2023, 2024).</w:t>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