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100"/>
        <w:jc w:val="center"/>
      </w:pPr>
      <w:r>
        <w:rPr>
          <w:b/>
          <w:bCs/>
          <w:color w:val="C65B3C"/>
          <w:sz w:val="48"/>
          <w:szCs w:val="48"/>
        </w:rPr>
        <w:t xml:space="preserve">YCompany-RIMSS</w:t>
      </w:r>
    </w:p>
    <w:p>
      <w:pPr>
        <w:spacing w:after="2200"/>
        <w:jc w:val="center"/>
      </w:pPr>
      <w:r>
        <w:rPr>
          <w:color w:val="6B7280"/>
          <w:sz w:val="32"/>
          <w:szCs w:val="32"/>
        </w:rPr>
        <w:t xml:space="preserve">DAR Document</w:t>
      </w:r>
    </w:p>
    <w:p>
      <w:pPr>
        <w:jc w:val="center"/>
      </w:pPr>
      <w:r>
        <w:rPr>
          <w:sz w:val="22"/>
          <w:szCs w:val="22"/>
        </w:rPr>
        <w:t xml:space="preserve">Nagarro Software Pvt. Ltd.</w:t>
      </w:r>
    </w:p>
    <w:p>
      <w:pPr>
        <w:spacing w:after="400"/>
        <w:jc w:val="center"/>
      </w:pPr>
      <w:r>
        <w:rPr>
          <w:color w:val="6B7280"/>
          <w:sz w:val="22"/>
          <w:szCs w:val="22"/>
        </w:rPr>
        <w:t xml:space="preserve">Senior Staff Engineer Candidate</w:t>
      </w:r>
    </w:p>
    <w:p>
      <w:r>
        <w:br w:type="page"/>
      </w:r>
    </w:p>
    <w:p>
      <w:pPr>
        <w:pStyle w:val="Heading1"/>
        <w:spacing w:after="150" w:before="200"/>
      </w:pPr>
      <w:r>
        <w:t xml:space="preserve">Revision History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805"/>
        <w:gridCol w:w="2979"/>
        <w:gridCol w:w="3159"/>
      </w:tblGrid>
      <w:tr>
        <w:tc>
          <w:tcPr>
            <w:tcW w:type="pct" w:w="6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pct" w:w="10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pct" w:w="165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Author/Contributor</w:t>
            </w:r>
          </w:p>
        </w:tc>
        <w:tc>
          <w:tcPr>
            <w:tcW w:type="pct" w:w="175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Comments</w:t>
            </w:r>
          </w:p>
        </w:tc>
      </w:tr>
      <w:tr>
        <w:tc>
          <w:tcPr>
            <w:tcW w:type="pct" w:w="600"/>
          </w:tcPr>
          <w:p>
            <w:r>
              <w:t xml:space="preserve">1.00</w:t>
            </w:r>
          </w:p>
        </w:tc>
        <w:tc>
          <w:tcPr>
            <w:tcW w:type="pct" w:w="1000"/>
          </w:tcPr>
          <w:p>
            <w:r>
              <w:t xml:space="preserve">2026-10-14</w:t>
            </w:r>
          </w:p>
        </w:tc>
        <w:tc>
          <w:tcPr>
            <w:tcW w:type="pct" w:w="1650"/>
          </w:tcPr>
          <w:p>
            <w:r>
              <w:t xml:space="preserve">Senior Staff Engineer Candidate</w:t>
            </w:r>
          </w:p>
        </w:tc>
        <w:tc>
          <w:tcPr>
            <w:tcW w:type="pct" w:w="1750"/>
          </w:tcPr>
          <w:p>
            <w:r>
              <w:t xml:space="preserve">Initial DAR for frontend framework &amp; architecture selection</w:t>
            </w:r>
          </w:p>
        </w:tc>
      </w:tr>
    </w:tbl>
    <w:p>
      <w:r>
        <w:br w:type="page"/>
      </w:r>
    </w:p>
    <w:p>
      <w:pPr>
        <w:pStyle w:val="Heading1"/>
        <w:spacing w:after="150" w:before="20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200"/>
      </w:pPr>
      <w:r>
        <w:t xml:space="preserve">1. Introduction</w:t>
      </w:r>
    </w:p>
    <w:p>
      <w:pPr>
        <w:spacing w:after="120"/>
      </w:pPr>
      <w:r>
        <w:t xml:space="preserve">This Decision Analysis and Resolution (DAR) document evaluates two candidate approaches for building the RIMSS customer-facing frontend and justifies the final selection used in the accompanying working sample and Solution Approach document.</w:t>
      </w:r>
    </w:p>
    <w:p>
      <w:pPr>
        <w:pStyle w:val="Heading2"/>
        <w:spacing w:after="100" w:before="160"/>
      </w:pPr>
      <w:r>
        <w:t xml:space="preserve">1.1 Objective and scope of document</w:t>
      </w:r>
    </w:p>
    <w:p>
      <w:pPr>
        <w:spacing w:after="120"/>
      </w:pPr>
      <w:r>
        <w:t xml:space="preserve">Objective: select the frontend framework and application architecture that best satisfies RIMSS's requirement for a pluggable, modular design while meeting the stated NFRs (cross-platform, fast load, 100ms interaction budget, SEO, testability). Scope is limited to the frontend/presentation tier; backend API implementation is out of scope for this assignment.</w:t>
      </w:r>
    </w:p>
    <w:p>
      <w:pPr>
        <w:pStyle w:val="Heading1"/>
        <w:spacing w:after="150" w:before="200"/>
      </w:pPr>
      <w:r>
        <w:t xml:space="preserve">2. Requirements at a Glance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Cross-platform support across desktop, tablet and mobile browsers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Pluggable/modular architecture - functional modules can be added or removed without shell changes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initial load and sub-100ms interaction responsiveness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In-built SEO friendliness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 testable business logic, CI/CD-ready build &amp; test scripts</w:t>
      </w:r>
    </w:p>
    <w:p>
      <w:pPr>
        <w:pStyle w:val="Heading1"/>
        <w:spacing w:after="150" w:before="200"/>
      </w:pPr>
      <w:r>
        <w:t xml:space="preserve">3. Available tools</w:t>
      </w:r>
    </w:p>
    <w:p>
      <w:pPr>
        <w:spacing w:after="120"/>
      </w:pPr>
      <w:r>
        <w:t xml:space="preserve">Two candidate approaches were evaluated for delivering the RIMSS frontend:</w:t>
      </w:r>
    </w:p>
    <w:p>
      <w:pPr>
        <w:pStyle w:val="Heading2"/>
        <w:spacing w:after="100" w:before="160"/>
      </w:pPr>
      <w:r>
        <w:t xml:space="preserve">3.1 React + Vite with a custom Plugin Registry</w:t>
      </w:r>
    </w:p>
    <w:p>
      <w:pPr>
        <w:spacing w:after="120"/>
      </w:pPr>
      <w:r>
        <w:t xml:space="preserve">A single-page application built with React 19 and TypeScript, bundled by Vite, where functional modules self-register into a lightweight in-house Plugin Registry that the app shell renders generically.</w:t>
      </w:r>
    </w:p>
    <w:p>
      <w:pPr>
        <w:pStyle w:val="Heading2"/>
        <w:spacing w:after="100" w:before="160"/>
      </w:pPr>
      <w:r>
        <w:t xml:space="preserve">3.1.1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control over the plugin/module contract (id, route, nav label, component)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Minimal dependency footprint; Vite provides fast dev server + optimized production builds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Route-level code splitting via React.lazy for each registered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Straightforward to add a PWA layer (service worker, manifest, offline caching)</w:t>
      </w:r>
    </w:p>
    <w:p>
      <w:pPr>
        <w:pStyle w:val="Heading2"/>
        <w:spacing w:after="100" w:before="160"/>
      </w:pPr>
      <w:r>
        <w:t xml:space="preserve">3.1.2 Pricing</w:t>
      </w:r>
    </w:p>
    <w:p>
      <w:pPr>
        <w:spacing w:after="120"/>
      </w:pPr>
      <w:r>
        <w:t xml:space="preserve">Open-source, no licensing cost. Effort cost only (build/maintain the registry, estimated in the Estimation Sheet).</w:t>
      </w:r>
    </w:p>
    <w:p>
      <w:pPr>
        <w:pStyle w:val="Heading2"/>
        <w:spacing w:after="100" w:before="160"/>
      </w:pPr>
      <w:r>
        <w:t xml:space="preserve">3.2 Next.js with Module Federation</w:t>
      </w:r>
    </w:p>
    <w:p>
      <w:pPr>
        <w:spacing w:after="120"/>
      </w:pPr>
      <w:r>
        <w:t xml:space="preserve">A framework-driven approach using Next.js file-based routing and React Server Components, with Webpack Module Federation for runtime plugin loading across independently deployable micro-frontends.</w:t>
      </w:r>
    </w:p>
    <w:p>
      <w:pPr>
        <w:pStyle w:val="Heading2"/>
        <w:spacing w:after="100" w:before="160"/>
      </w:pPr>
      <w:r>
        <w:t xml:space="preserve">3.2.1 Features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Built-in SSR/SSG - strongest out-of-the-box SEO and first-paint performance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Federation enables independently deployed micro-frontends at runtime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Larger ecosystem of conventions (routing, data fetching, image optimization)</w:t>
      </w:r>
    </w:p>
    <w:p>
      <w:pPr>
        <w:pStyle w:val="Heading2"/>
        <w:spacing w:after="100" w:before="160"/>
      </w:pPr>
      <w:r>
        <w:t xml:space="preserve">3.2.2 Pricing</w:t>
      </w:r>
    </w:p>
    <w:p>
      <w:pPr>
        <w:spacing w:after="120"/>
      </w:pPr>
      <w:r>
        <w:t xml:space="preserve">Open-source, no licensing cost. Higher setup/tooling effort due to Module Federation configuration and SSR infrastructure.</w:t>
      </w:r>
    </w:p>
    <w:p>
      <w:pPr>
        <w:pStyle w:val="Heading1"/>
        <w:spacing w:after="150" w:before="200"/>
      </w:pPr>
      <w:r>
        <w:t xml:space="preserve">4. Comparison Analysis</w:t>
      </w:r>
    </w:p>
    <w:p>
      <w:pPr>
        <w:spacing w:after="120"/>
      </w:pPr>
      <w:r>
        <w:t xml:space="preserve">Each candidate is scored against the key requirements, then compared feature-by-feature and on non-functional fit.</w:t>
      </w:r>
    </w:p>
    <w:p>
      <w:pPr>
        <w:pStyle w:val="Heading2"/>
        <w:spacing w:after="100" w:before="160"/>
      </w:pPr>
      <w:r>
        <w:t xml:space="preserve">4.1 Point Matrix</w:t>
      </w:r>
    </w:p>
    <w:p>
      <w:pPr>
        <w:spacing w:after="120"/>
      </w:pPr>
      <w:r>
        <w:t xml:space="preserve">Points assigned 1 (poor fit) to 5 (excellent fit) per requirement: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4"/>
        <w:gridCol w:w="4062"/>
      </w:tblGrid>
      <w:tr>
        <w:tc>
          <w:tcPr>
            <w:tcW w:type="pct" w:w="275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225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pct" w:w="2750"/>
          </w:tcPr>
          <w:p>
            <w:r>
              <w:t xml:space="preserve">Pluggable/modular architecture fit</w:t>
            </w:r>
          </w:p>
        </w:tc>
        <w:tc>
          <w:tcPr>
            <w:tcW w:type="pct" w:w="2250"/>
          </w:tcPr>
          <w:p>
            <w:r>
              <w:t xml:space="preserve">React + Vite: 5  |  Next.js + Module Federation: 4</w:t>
            </w:r>
          </w:p>
        </w:tc>
      </w:tr>
      <w:tr>
        <w:tc>
          <w:tcPr>
            <w:tcW w:type="pct" w:w="2750"/>
          </w:tcPr>
          <w:p>
            <w:r>
              <w:t xml:space="preserve">Time to build for a 4-week assignment</w:t>
            </w:r>
          </w:p>
        </w:tc>
        <w:tc>
          <w:tcPr>
            <w:tcW w:type="pct" w:w="2250"/>
          </w:tcPr>
          <w:p>
            <w:r>
              <w:t xml:space="preserve">React + Vite: 5  |  Next.js + Module Federation: 2</w:t>
            </w:r>
          </w:p>
        </w:tc>
      </w:tr>
      <w:tr>
        <w:tc>
          <w:tcPr>
            <w:tcW w:type="pct" w:w="2750"/>
          </w:tcPr>
          <w:p>
            <w:r>
              <w:t xml:space="preserve">Out-of-the-box SEO/SSR</w:t>
            </w:r>
          </w:p>
        </w:tc>
        <w:tc>
          <w:tcPr>
            <w:tcW w:type="pct" w:w="2250"/>
          </w:tcPr>
          <w:p>
            <w:r>
              <w:t xml:space="preserve">React + Vite: 2  |  Next.js + Module Federation: 5</w:t>
            </w:r>
          </w:p>
        </w:tc>
      </w:tr>
      <w:tr>
        <w:tc>
          <w:tcPr>
            <w:tcW w:type="pct" w:w="2750"/>
          </w:tcPr>
          <w:p>
            <w:r>
              <w:t xml:space="preserve">Interaction responsiveness (100ms budget)</w:t>
            </w:r>
          </w:p>
        </w:tc>
        <w:tc>
          <w:tcPr>
            <w:tcW w:type="pct" w:w="2250"/>
          </w:tcPr>
          <w:p>
            <w:r>
              <w:t xml:space="preserve">React + Vite: 5  |  Next.js + Module Federation: 4</w:t>
            </w:r>
          </w:p>
        </w:tc>
      </w:tr>
      <w:tr>
        <w:tc>
          <w:tcPr>
            <w:tcW w:type="pct" w:w="2750"/>
          </w:tcPr>
          <w:p>
            <w:r>
              <w:t xml:space="preserve">Learning curve / team familiarity</w:t>
            </w:r>
          </w:p>
        </w:tc>
        <w:tc>
          <w:tcPr>
            <w:tcW w:type="pct" w:w="2250"/>
          </w:tcPr>
          <w:p>
            <w:r>
              <w:t xml:space="preserve">React + Vite: 5  |  Next.js + Module Federation: 3</w:t>
            </w:r>
          </w:p>
        </w:tc>
      </w:tr>
      <w:tr>
        <w:tc>
          <w:tcPr>
            <w:tcW w:type="pct" w:w="2750"/>
          </w:tcPr>
          <w:p>
            <w:r>
              <w:t xml:space="preserve">Total</w:t>
            </w:r>
          </w:p>
        </w:tc>
        <w:tc>
          <w:tcPr>
            <w:tcW w:type="pct" w:w="2250"/>
          </w:tcPr>
          <w:p>
            <w:r>
              <w:t xml:space="preserve">React + Vite: 22  |  Next.js + Module Federation: 18</w:t>
            </w:r>
          </w:p>
        </w:tc>
      </w:tr>
    </w:tbl>
    <w:p>
      <w:pPr>
        <w:pStyle w:val="Heading2"/>
        <w:spacing w:after="100" w:before="160"/>
      </w:pPr>
      <w:r>
        <w:t xml:space="preserve">4.2 Technical Comparison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49"/>
      </w:tblGrid>
      <w:tr>
        <w:tc>
          <w:tcPr>
            <w:tcW w:type="pct" w:w="14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18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React + Vite + Plugin Registry</w:t>
            </w:r>
          </w:p>
        </w:tc>
        <w:tc>
          <w:tcPr>
            <w:tcW w:type="pct" w:w="18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Next.js + Module Federation</w:t>
            </w:r>
          </w:p>
        </w:tc>
      </w:tr>
      <w:tr>
        <w:tc>
          <w:tcPr>
            <w:tcW w:type="pct" w:w="1400"/>
          </w:tcPr>
          <w:p>
            <w:r>
              <w:t xml:space="preserve">Bundle tooling</w:t>
            </w:r>
          </w:p>
        </w:tc>
        <w:tc>
          <w:tcPr>
            <w:tcW w:type="pct" w:w="1800"/>
          </w:tcPr>
          <w:p>
            <w:r>
              <w:t xml:space="preserve">Vite (esbuild/Rollup), sub-second HMR</w:t>
            </w:r>
          </w:p>
        </w:tc>
        <w:tc>
          <w:tcPr>
            <w:tcW w:type="pct" w:w="1800"/>
          </w:tcPr>
          <w:p>
            <w:r>
              <w:t xml:space="preserve">Webpack-based, slower cold start</w:t>
            </w:r>
          </w:p>
        </w:tc>
      </w:tr>
      <w:tr>
        <w:tc>
          <w:tcPr>
            <w:tcW w:type="pct" w:w="1400"/>
          </w:tcPr>
          <w:p>
            <w:r>
              <w:t xml:space="preserve">Plugin/module extensibility</w:t>
            </w:r>
          </w:p>
        </w:tc>
        <w:tc>
          <w:tcPr>
            <w:tcW w:type="pct" w:w="1800"/>
          </w:tcPr>
          <w:p>
            <w:r>
              <w:t xml:space="preserve">Custom registry, full control, simple contract</w:t>
            </w:r>
          </w:p>
        </w:tc>
        <w:tc>
          <w:tcPr>
            <w:tcW w:type="pct" w:w="1800"/>
          </w:tcPr>
          <w:p>
            <w:r>
              <w:t xml:space="preserve">Module Federation, more powerful but heavier setup</w:t>
            </w:r>
          </w:p>
        </w:tc>
      </w:tr>
      <w:tr>
        <w:tc>
          <w:tcPr>
            <w:tcW w:type="pct" w:w="1400"/>
          </w:tcPr>
          <w:p>
            <w:r>
              <w:t xml:space="preserve">Code splitting</w:t>
            </w:r>
          </w:p>
        </w:tc>
        <w:tc>
          <w:tcPr>
            <w:tcW w:type="pct" w:w="1800"/>
          </w:tcPr>
          <w:p>
            <w:r>
              <w:t xml:space="preserve">React.lazy per module route</w:t>
            </w:r>
          </w:p>
        </w:tc>
        <w:tc>
          <w:tcPr>
            <w:tcW w:type="pct" w:w="1800"/>
          </w:tcPr>
          <w:p>
            <w:r>
              <w:t xml:space="preserve">Built-in per-page + federation remotes</w:t>
            </w:r>
          </w:p>
        </w:tc>
      </w:tr>
      <w:tr>
        <w:tc>
          <w:tcPr>
            <w:tcW w:type="pct" w:w="1400"/>
          </w:tcPr>
          <w:p>
            <w:r>
              <w:t xml:space="preserve">Testing ecosystem</w:t>
            </w:r>
          </w:p>
        </w:tc>
        <w:tc>
          <w:tcPr>
            <w:tcW w:type="pct" w:w="1800"/>
          </w:tcPr>
          <w:p>
            <w:r>
              <w:t xml:space="preserve">Vitest + Testing Library, fast</w:t>
            </w:r>
          </w:p>
        </w:tc>
        <w:tc>
          <w:tcPr>
            <w:tcW w:type="pct" w:w="1800"/>
          </w:tcPr>
          <w:p>
            <w:r>
              <w:t xml:space="preserve">Jest/Vitest, same coverage, more config</w:t>
            </w:r>
          </w:p>
        </w:tc>
      </w:tr>
    </w:tbl>
    <w:p>
      <w:pPr>
        <w:pStyle w:val="Heading2"/>
        <w:spacing w:after="100" w:before="160"/>
      </w:pPr>
      <w:r>
        <w:t xml:space="preserve">4.3 Non-Functional Fit Comparison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3249"/>
        <w:gridCol w:w="3249"/>
      </w:tblGrid>
      <w:tr>
        <w:tc>
          <w:tcPr>
            <w:tcW w:type="pct" w:w="14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pct" w:w="18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React + Vite + Plugin Registry</w:t>
            </w:r>
          </w:p>
        </w:tc>
        <w:tc>
          <w:tcPr>
            <w:tcW w:type="pct" w:w="1800"/>
            <w:shd w:fill="C65B3C" w:color="auto" w:val="clear"/>
          </w:tcPr>
          <w:p>
            <w:r>
              <w:rPr>
                <w:b/>
                <w:bCs/>
                <w:color w:val="FFFFFF"/>
              </w:rPr>
              <w:t xml:space="preserve">Next.js + Module Federation</w:t>
            </w:r>
          </w:p>
        </w:tc>
      </w:tr>
      <w:tr>
        <w:tc>
          <w:tcPr>
            <w:tcW w:type="pct" w:w="1400"/>
          </w:tcPr>
          <w:p>
            <w:r>
              <w:t xml:space="preserve">SEO</w:t>
            </w:r>
          </w:p>
        </w:tc>
        <w:tc>
          <w:tcPr>
            <w:tcW w:type="pct" w:w="1800"/>
          </w:tcPr>
          <w:p>
            <w:r>
              <w:t xml:space="preserve">Requires added SSR/pre-render effort (documented as follow-on)</w:t>
            </w:r>
          </w:p>
        </w:tc>
        <w:tc>
          <w:tcPr>
            <w:tcW w:type="pct" w:w="1800"/>
          </w:tcPr>
          <w:p>
            <w:r>
              <w:t xml:space="preserve">Native SSR/SSG support</w:t>
            </w:r>
          </w:p>
        </w:tc>
      </w:tr>
      <w:tr>
        <w:tc>
          <w:tcPr>
            <w:tcW w:type="pct" w:w="1400"/>
          </w:tcPr>
          <w:p>
            <w:r>
              <w:t xml:space="preserve">Performance (initial load)</w:t>
            </w:r>
          </w:p>
        </w:tc>
        <w:tc>
          <w:tcPr>
            <w:tcW w:type="pct" w:w="1800"/>
          </w:tcPr>
          <w:p>
            <w:r>
              <w:t xml:space="preserve">Small bundle, CDN + compression</w:t>
            </w:r>
          </w:p>
        </w:tc>
        <w:tc>
          <w:tcPr>
            <w:tcW w:type="pct" w:w="1800"/>
          </w:tcPr>
          <w:p>
            <w:r>
              <w:t xml:space="preserve">Slightly heavier runtime, but server-rendered first paint</w:t>
            </w:r>
          </w:p>
        </w:tc>
      </w:tr>
      <w:tr>
        <w:tc>
          <w:tcPr>
            <w:tcW w:type="pct" w:w="1400"/>
          </w:tcPr>
          <w:p>
            <w:r>
              <w:t xml:space="preserve">PWA / offline support</w:t>
            </w:r>
          </w:p>
        </w:tc>
        <w:tc>
          <w:tcPr>
            <w:tcW w:type="pct" w:w="1800"/>
          </w:tcPr>
          <w:p>
            <w:r>
              <w:t xml:space="preserve">Straightforward via vite-plugin-pwa</w:t>
            </w:r>
          </w:p>
        </w:tc>
        <w:tc>
          <w:tcPr>
            <w:tcW w:type="pct" w:w="1800"/>
          </w:tcPr>
          <w:p>
            <w:r>
              <w:t xml:space="preserve">Supported but less common in Next.js app router setups</w:t>
            </w:r>
          </w:p>
        </w:tc>
      </w:tr>
      <w:tr>
        <w:tc>
          <w:tcPr>
            <w:tcW w:type="pct" w:w="1400"/>
          </w:tcPr>
          <w:p>
            <w:r>
              <w:t xml:space="preserve">Delivery timeline fit (4 weeks)</w:t>
            </w:r>
          </w:p>
        </w:tc>
        <w:tc>
          <w:tcPr>
            <w:tcW w:type="pct" w:w="1800"/>
          </w:tcPr>
          <w:p>
            <w:r>
              <w:t xml:space="preserve">Achievable end-to-end incl. tests</w:t>
            </w:r>
          </w:p>
        </w:tc>
        <w:tc>
          <w:tcPr>
            <w:tcW w:type="pct" w:w="1800"/>
          </w:tcPr>
          <w:p>
            <w:r>
              <w:t xml:space="preserve">Tight given federation/infra setup overhead</w:t>
            </w:r>
          </w:p>
        </w:tc>
      </w:tr>
    </w:tbl>
    <w:p>
      <w:pPr>
        <w:pStyle w:val="Heading1"/>
        <w:spacing w:after="150" w:before="200"/>
      </w:pPr>
      <w:r>
        <w:t xml:space="preserve">5. Recommendation</w:t>
      </w:r>
    </w:p>
    <w:p>
      <w:pPr>
        <w:spacing w:after="120"/>
      </w:pPr>
      <w:r>
        <w:t xml:space="preserve">React + Vite with the custom Plugin Registry is recommended for this assignment's 4-week delivery window and FRONTEND-REACT skill focus. It scores highest on the point matrix, most directly demonstrates the plugin-based architecture the case study asks for, and is fast enough to build, test and document end-to-end in scope. Next.js with Module Federation is recommended as a future production evolution once SSR/SEO becomes a hard requirement and multiple teams need to deploy modules independently.</w:t>
      </w:r>
    </w:p>
    <w:p>
      <w:pPr>
        <w:pStyle w:val="Heading1"/>
        <w:spacing w:after="150" w:before="200"/>
      </w:pPr>
      <w:r>
        <w:t xml:space="preserve">6.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has existing React/TypeScript expertise; no ramp-up time budgeted for a new framework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SEO is a stated NFR but not the top priority within the 4-week assignment window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one team/module owner is building all functional modules for this assignment (no need for independently deployed micro-frontends yet)</w:t>
      </w:r>
    </w:p>
    <w:p>
      <w:pPr>
        <w:pStyle w:val="Heading1"/>
        <w:spacing w:after="150" w:before="200"/>
      </w:pPr>
      <w:r>
        <w:t xml:space="preserve">7.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Plugin Registry is less battle-tested than a framework-provided mechanism - mitigated by keeping its contract minimal and unit testing module registration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Migrating to SSR/Next.js later would require revisiting data-fetching patterns in each module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Without Module Federation, independently deployable micro-frontends are not yet possible - acceptable for current scope, flagged for future roadmap</w:t>
      </w:r>
    </w:p>
    <w:p>
      <w:r>
        <w:br w:type="page"/>
      </w:r>
    </w:p>
    <w:p>
      <w:pPr>
        <w:pStyle w:val="Heading1"/>
        <w:spacing w:after="150" w:before="200"/>
      </w:pPr>
      <w:r>
        <w:t xml:space="preserve">8. Appendix</w:t>
      </w:r>
    </w:p>
    <w:p>
      <w:pPr>
        <w:pStyle w:val="Heading2"/>
        <w:spacing w:after="100" w:before="160"/>
      </w:pPr>
      <w:r>
        <w:t xml:space="preserve">8.1 References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YCompany RIMSS Case Study v1.3 (assignment brief)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MSAG Diagram Preparation Guidelines v1.1 (Nagarro Architecture Group)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documentation (react.dev) and Vite documentation (vite.dev)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RIMSS Solution Approach document (this assignment package)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inline distT="0" distB="0" distL="0" distR="0">
          <wp:extent cx="1228725" cy="10096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1009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right"/>
    </w:pPr>
    <w: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YCompany-RIMSS - DAR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35d60ed3ea290327865419354bb508d619aeb01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2026-10-14T10:59:15.877Z</dcterms:created>
  <dcterms:modified xsi:type="dcterms:W3CDTF">2026-10-14T10:59:15.877Z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