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pPr>
        <w:jc w:val="center"/>
      </w:pPr>
      <w:r>
        <w:rPr>
          <w:i/>
          <w:iCs/>
        </w:rPr>
        <w:t xml:space="preserve">Prepared by: Zibran Shaikh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API (PostgreSQL-backed, with a JSON-file fallback for local use)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Cart, rule-based Chatbot assistant with persisted conversation)</w:t>
            </w:r>
          </w:p>
        </w:tc>
        <w:tc>
          <w:tcPr>
            <w:tcW w:type="pct" w:w="1150"/>
          </w:tcPr>
          <w:p>
            <w:r>
              <w:t xml:space="preserve">React 19 + TypeScript, SCSS design tokens, shared ui/ primitives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The registry also supports widgets plugged into named page slots: the Latest Offers banner registers into the home page's 'home-top' slot, can be hidden by the user, themed per environment (VITE_OFFERS_THEME) and disabled per environment (VITE_DISABLED_MODULES=offers).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pPr>
        <w:pStyle w:val="Heading2"/>
        <w:spacing w:after="120" w:before="200"/>
      </w:pPr>
      <w:r>
        <w:t xml:space="preserve">4.5 Repository &amp; Application Folder Structure</w:t>
      </w:r>
    </w:p>
    <w:p>
      <w:pPr>
        <w:spacing w:after="120"/>
      </w:pPr>
      <w:r>
        <w:t xml:space="preserve">The repository is a Turborepo monorepo. The diagram shows where each concern lives so new team members can navigate the code: feature modules under modules/, shared UI primitives under components/ui, integration code under services/, and API routes, repositories and migrations in rimss-api. Both apps depend on the shared contract package @rimss/shared.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7 - Repository and application folder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Chatbot (components/Chatbot): rule-based assistant driven by responses.json; keyword intents return canned replies and product suggestions, and the conversation is persisted in localStorage. No backend dependency.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 system (styles/ + components/ui): SCSS variables/mixins and reusable Button, Card, Field, Heading and Table primitives keep modules visually consistent. Colour tokens are CSS custom properties, so a header toggle switches light and dark themes (persisted, defaults to the OS preference).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Internationalisation (src/i18n): all UI strings live in a message catalogue (English and Spanish) with a header language menu; the choice is persisted and sets the page language.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Header search and session safety: a header search box suggests matching products as the user types and links straight to the product page (Enter opens the filtered Shop view). Signed-in users are signed out automatically after 30 minutes without activity.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Accounts and checkout: guests can browse and fill a cart; checkout asks them to sign in through a modal dialog, then reopens the cart and offers a demo payment. The Account area (order history, pay, cancel) is only shown when signed 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Persistence (rimss-api): PostgreSQL with versioned SQL migrations (001_init to 004_users) and seed-on-empty catalog; falls back to JSON files when DATABASE_URL is unset.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Orders are idempotent: an optional Idempotency-Key header makes checkout retries return the original order. Creating an order atomically decrements stock (cancelling restores it), so concurrent orders cannot oversell. Unpaid orders expire after a configurable TTL (default 30 minutes) and release their stock; in production the order endpoint requires authentication.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Delivery: multi-stage non-root Dockerfiles for web (nginx proxying /api) and API, plus docker-compose with a Postgres service and a full-stack profile.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crashes, HTTP retries and analytics events (page views, add to cart, checkout); events are stored locally via POST /api/telemetry in a JSON file and the sink is pluggable to Sentry/App Insights without changing call sites. API logs are structured (pino) with request ids and masked credentials.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209 app tests plus 64 API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Admin/inventory management screens and a real payment processor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ca80fb3160c2cb70964998c31b29ad61ef6c56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ecd16ec5a31dbbb6fd22ca00c588084e53883172.png"/><Relationship Id="rId13" Type="http://schemas.openxmlformats.org/officeDocument/2006/relationships/image" Target="media/45dc2e6cf92b5ad31228fd175dde4cb272c3068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2026-10-21T16:38:41.345Z</dcterms:created>
  <dcterms:modified xsi:type="dcterms:W3CDTF">2026-10-21T16:38:41.346Z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