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2400"/>
        <w:jc w:val="center"/>
      </w:pPr>
      <w:r>
        <w:rPr>
          <w:color w:val="6B7280"/>
          <w:sz w:val="32"/>
          <w:szCs w:val="32"/>
        </w:rPr>
        <w:t xml:space="preserve">Architecture Diagrams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Microsoft Architecture Group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2026-10-15</w:t>
            </w:r>
          </w:p>
        </w:tc>
        <w:tc>
          <w:tcPr>
            <w:tcW w:type="pct" w:w="1650"/>
          </w:tcPr>
          <w:p>
            <w:r>
              <w:t xml:space="preserve">Senior Staff Engineer Candidate</w:t>
            </w:r>
          </w:p>
        </w:tc>
        <w:tc>
          <w:tcPr>
            <w:tcW w:type="pct" w:w="1750"/>
          </w:tcPr>
          <w:p>
            <w:r>
              <w:t xml:space="preserve">Consolidated architecture diagrams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document gathers all RIMSS architecture diagrams in one place. Decisions behind them are recorded in docs/adr and the editable Mermaid versions are in docs/ARCHITECTURE.md.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rimss-app: React 19 PWA with a plugin-based module registry.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rimss-api: Express API with injected repositories (PostgreSQL or JSON/in-memory).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@rimss/shared: types and zod request schemas used by both.</w:t>
      </w:r>
    </w:p>
    <w:p>
      <w:r>
        <w:br w:type="page"/>
      </w:r>
    </w:p>
    <w:p>
      <w:pPr>
        <w:pStyle w:val="Heading1"/>
        <w:spacing w:after="150" w:before="200"/>
      </w:pPr>
      <w:r>
        <w:t xml:space="preserve">2. Technical Diagram</w:t>
      </w:r>
    </w:p>
    <w:p>
      <w:pPr>
        <w:spacing w:after="120"/>
      </w:pPr>
      <w:r>
        <w:t xml:space="preserve">End-to-end view from browsers through the CDN-served SPA to the API and backing services.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Client, SPA and backend topology</w:t>
      </w:r>
    </w:p>
    <w:p>
      <w:r>
        <w:br w:type="page"/>
      </w:r>
    </w:p>
    <w:p>
      <w:pPr>
        <w:pStyle w:val="Heading1"/>
        <w:spacing w:after="150" w:before="200"/>
      </w:pPr>
      <w:r>
        <w:t xml:space="preserve">3. System Architecture</w:t>
      </w:r>
    </w:p>
    <w:p>
      <w:pPr>
        <w:spacing w:after="120"/>
      </w:pPr>
      <w:r>
        <w:t xml:space="preserve">Layered view of the application and its runtime dependencies.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4. System Model</w:t>
      </w:r>
    </w:p>
    <w:p>
      <w:pPr>
        <w:spacing w:after="120"/>
      </w:pPr>
      <w:r>
        <w:t xml:space="preserve">Main actors, capabilities and their relationships.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System model</w:t>
      </w:r>
    </w:p>
    <w:p>
      <w:r>
        <w:br w:type="page"/>
      </w:r>
    </w:p>
    <w:p>
      <w:pPr>
        <w:pStyle w:val="Heading1"/>
        <w:spacing w:after="150" w:before="200"/>
      </w:pPr>
      <w:r>
        <w:t xml:space="preserve">5. Frontend Component Architecture</w:t>
      </w:r>
    </w:p>
    <w:p>
      <w:pPr>
        <w:spacing w:after="120"/>
      </w:pPr>
      <w:r>
        <w:t xml:space="preserve">Plugin registry, feature modules and shared layers (ADR 0001).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Frontend component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6. API Architecture</w:t>
      </w:r>
    </w:p>
    <w:p>
      <w:pPr>
        <w:spacing w:after="120"/>
      </w:pPr>
      <w:r>
        <w:t xml:space="preserve">Composition root, routers and injected repositories (ADR 0002).</w:t>
      </w: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API architecture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7. Data Flow</w:t>
      </w:r>
    </w:p>
    <w:p>
      <w:pPr>
        <w:spacing w:after="120"/>
      </w:pPr>
      <w:r>
        <w:t xml:space="preserve">How catalog and cart data move between UI, services and API.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Data flow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Checkout Sequence</w:t>
      </w:r>
    </w:p>
    <w:p>
      <w:pPr>
        <w:spacing w:after="120"/>
      </w:pPr>
      <w:r>
        <w:t xml:space="preserve">Server-side pricing and idempotent order creation (ADR 0004).</w:t>
      </w:r>
    </w:p>
    <w:p>
      <w:pPr>
        <w:spacing w:after="60"/>
        <w:jc w:val="center"/>
      </w:pPr>
      <w:r>
        <w:drawing>
          <wp:inline distT="0" distB="0" distL="0" distR="0">
            <wp:extent cx="5905500" cy="2952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Checkout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9. Web Push Sequence</w:t>
      </w:r>
    </w:p>
    <w:p>
      <w:pPr>
        <w:spacing w:after="120"/>
      </w:pPr>
      <w:r>
        <w:t xml:space="preserve">Subscription and admin broadcast with VAPID (ADR 0006).</w:t>
      </w:r>
    </w:p>
    <w:p>
      <w:pPr>
        <w:spacing w:after="60"/>
        <w:jc w:val="center"/>
      </w:pPr>
      <w:r>
        <w:drawing>
          <wp:inline distT="0" distB="0" distL="0" distR="0">
            <wp:extent cx="5905500" cy="25622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Web Push sequence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10. Repository and Folder Structure</w:t>
      </w:r>
    </w:p>
    <w:p>
      <w:pPr>
        <w:spacing w:after="120"/>
      </w:pPr>
      <w:r>
        <w:t xml:space="preserve">Turborepo layout of the app, API and shared package.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Repository and application folder structure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RIMSS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ca80fb3160c2cb70964998c31b29ad61ef6c56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3b5ef2dfc18d272cd255b975cc15d9f15bdf50f0.png"/><Relationship Id="rId12" Type="http://schemas.openxmlformats.org/officeDocument/2006/relationships/image" Target="media/8f1b1128bfed4cea7f9d37e3bca04e92fe533313.png"/><Relationship Id="rId13" Type="http://schemas.openxmlformats.org/officeDocument/2006/relationships/image" Target="media/e143ec4dc773743ee7d32c4f894f32a2d785f211.png"/><Relationship Id="rId14" Type="http://schemas.openxmlformats.org/officeDocument/2006/relationships/image" Target="media/5eb5d514cc475412d1c90143bbc8b528b2a1d7a4.png"/><Relationship Id="rId15" Type="http://schemas.openxmlformats.org/officeDocument/2006/relationships/image" Target="media/840197d63209eee5424bcd008537294471175475.png"/><Relationship Id="rId16" Type="http://schemas.openxmlformats.org/officeDocument/2006/relationships/image" Target="media/8205ce84b3a3488e2319ac5c28672fe956205e16.png"/><Relationship Id="rId17" Type="http://schemas.openxmlformats.org/officeDocument/2006/relationships/image" Target="media/2275bea2dd7cde080414cb82b40b27ec6fbfcef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2026-10-15T09:37:30.121Z</dcterms:created>
  <dcterms:modified xsi:type="dcterms:W3CDTF">2026-10-15T09:37:30.121Z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