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C65B3C"/>
          <w:sz w:val="56"/>
          <w:szCs w:val="56"/>
        </w:rPr>
        <w:t xml:space="preserve">RIMSS</w:t>
      </w:r>
    </w:p>
    <w:p>
      <w:pPr>
        <w:spacing w:after="60"/>
        <w:jc w:val="center"/>
      </w:pPr>
      <w:r>
        <w:rPr>
          <w:color w:val="6B7280"/>
          <w:sz w:val="32"/>
          <w:szCs w:val="32"/>
        </w:rPr>
        <w:t xml:space="preserve">Retail Inventory Management Software System</w:t>
      </w:r>
    </w:p>
    <w:p>
      <w:pPr>
        <w:spacing w:after="400"/>
        <w:jc w:val="center"/>
      </w:pPr>
      <w:r>
        <w:rPr>
          <w:sz w:val="24"/>
          <w:szCs w:val="24"/>
        </w:rPr>
        <w:t xml:space="preserve">Solution Approach Document · Version 1.0</w:t>
      </w:r>
    </w:p>
    <w:p>
      <w:pPr>
        <w:jc w:val="center"/>
      </w:pPr>
      <w:r>
        <w:rPr>
          <w:i/>
          <w:iCs/>
        </w:rPr>
        <w:t xml:space="preserve">Prepared for: YCompany Promotion Assignment (FRONTEND-REACT)</w:t>
      </w:r>
    </w:p>
    <w:p>
      <w:r>
        <w:br w:type="page"/>
      </w:r>
    </w:p>
    <w:p>
      <w:pPr>
        <w:pStyle w:val="Heading1"/>
        <w:spacing w:after="200"/>
      </w:pPr>
      <w:r>
        <w:t xml:space="preserve">1. Introduction &amp; Objective</w:t>
      </w:r>
    </w:p>
    <w:p>
      <w:pPr>
        <w:spacing w:after="120"/>
      </w:pPr>
      <w:r>
        <w:t xml:space="preserve">YCompany's existing storefront suffers from slow initial load (&gt;60s), a frozen/unresponsive UI, slow product search, and no cross-platform support. This document proposes a frontend solution approach for the Retail Inventory Management Software System (RIMSS) that resolves these issues, focused on the customer-facing shopping experience (Home, Product Search, Product Showcase, Shopping Cart, Payment Gateway).</w:t>
      </w:r>
    </w:p>
    <w:p>
      <w:pPr>
        <w:spacing w:after="120"/>
      </w:pPr>
      <w:r>
        <w:t xml:space="preserve">This document is organized as follows: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Technical Diagram &amp; Data Flow - visual overview of the solution end-to-end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System Model - holistic functional view of RIMSS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Solution Architecture - logical layers, component wiring and plugin design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 vs Proposed System - how each reported issue is resolved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Non-Functional Requirements Coverage - how each NFR is addressed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Performance - strategy to meet the 100ms interaction budget and fast load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Assumptions &amp; Scope - in-scope / out-of-scope boundaries</w:t>
      </w:r>
    </w:p>
    <w:p>
      <w:r>
        <w:br w:type="page"/>
      </w:r>
    </w:p>
    <w:p>
      <w:pPr>
        <w:pStyle w:val="Heading1"/>
        <w:spacing w:after="200"/>
      </w:pPr>
      <w:r>
        <w:t xml:space="preserve">2. Technical Diagram</w:t>
      </w:r>
    </w:p>
    <w:p>
      <w:pPr>
        <w:spacing w:after="120"/>
      </w:pPr>
      <w:r>
        <w:t xml:space="preserve">The diagram below depicts the client-server topology: Web/Mobile browsers communicate over HTTPS with a CDN-fronted static SPA bundle, which calls backend REST APIs (assumed provided by client per assignment scope) for product, cart and payment operations. A Node.js/Express API (PostgreSQL-backed, with a JSON-file fallback for local use) stands in for those APIs during development and demo.</w:t>
      </w:r>
    </w:p>
    <w:p>
      <w:pPr>
        <w:spacing w:after="60"/>
        <w:jc w:val="center"/>
      </w:pPr>
      <w:r>
        <w:drawing>
          <wp:inline distT="0" distB="0" distL="0" distR="0">
            <wp:extent cx="59055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 1 - RIMSS technical / solution diagram</w:t>
      </w:r>
    </w:p>
    <w:p>
      <w:pPr>
        <w:spacing w:after="120"/>
      </w:pPr>
      <w:r>
        <w:t xml:space="preserve">Diagram legend: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Blue boxes = client-side (browser) components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Amber boxes = SPA / frontend components (in scope for this assignment)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Green boxes = build/deploy or mock infrastructure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Grey dashed boxes = external/backend services (out of scope, assumed available)</w:t>
      </w:r>
    </w:p>
    <w:p>
      <w:pPr>
        <w:pStyle w:val="Heading2"/>
        <w:spacing w:after="120" w:before="200"/>
      </w:pPr>
      <w:r>
        <w:t xml:space="preserve">2.1 Data Flow Diagram</w:t>
      </w:r>
    </w:p>
    <w:p>
      <w:pPr>
        <w:spacing w:after="120"/>
      </w:pPr>
      <w:r>
        <w:t xml:space="preserve">The sequence below traces a representative user journey - browsing, adding an item to cart, and checking out - with arrows tagged in call order so each step can be cross-referenced from this write-up.</w:t>
      </w:r>
    </w:p>
    <w:p>
      <w:pPr>
        <w:spacing w:after="60"/>
        <w:jc w:val="center"/>
      </w:pPr>
      <w:r>
        <w:drawing>
          <wp:inline distT="0" distB="0" distL="0" distR="0">
            <wp:extent cx="5905500" cy="27527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 2 - Browse-to-checkout data flow (steps 1-9)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Steps 1-3: user searches the catalog; the Product Search module calls the Product Service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Steps 4-5: user opens Product Showcase and adds the item to cart via the business logic layer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Steps 6-7: user opens the Cart Drawer and proceeds to the Payment Gateway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Steps 8-9: confirmation is returned through the SPA back to the browser</w:t>
      </w:r>
    </w:p>
    <w:p>
      <w:r>
        <w:br w:type="page"/>
      </w:r>
    </w:p>
    <w:p>
      <w:pPr>
        <w:pStyle w:val="Heading1"/>
        <w:spacing w:after="200"/>
      </w:pPr>
      <w:r>
        <w:t xml:space="preserve">3. System Model</w:t>
      </w:r>
    </w:p>
    <w:p>
      <w:pPr>
        <w:spacing w:after="120"/>
      </w:pPr>
      <w:r>
        <w:t xml:space="preserve">The functional system model below gives a holistic, business-facing view of RIMSS: the user types it serves, the functional modules that make up the core system, and the integration points each module depends on.</w:t>
      </w:r>
    </w:p>
    <w:p>
      <w:pPr>
        <w:spacing w:after="60"/>
        <w:jc w:val="center"/>
      </w:pPr>
      <w:r>
        <w:drawing>
          <wp:inline distT="0" distB="0" distL="0" distR="0">
            <wp:extent cx="5905500" cy="34480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 3 - RIMSS functional system model</w:t>
      </w:r>
    </w:p>
    <w:p>
      <w:r>
        <w:br w:type="page"/>
      </w:r>
    </w:p>
    <w:p>
      <w:pPr>
        <w:pStyle w:val="Heading1"/>
        <w:spacing w:after="200"/>
      </w:pPr>
      <w:r>
        <w:t xml:space="preserve">4. Solution Architecture</w:t>
      </w:r>
    </w:p>
    <w:p>
      <w:pPr>
        <w:pStyle w:val="Heading2"/>
        <w:spacing w:after="120" w:before="200"/>
      </w:pPr>
      <w:r>
        <w:t xml:space="preserve">4.1 Layered Application Architecture</w:t>
      </w:r>
    </w:p>
    <w:p>
      <w:pPr>
        <w:spacing w:after="120"/>
      </w:pPr>
      <w:r>
        <w:t xml:space="preserve">RIMSS follows a layered frontend architecture. Requests flow top-down from UI to integration, while business logic remains independent of the UI so it can be unit tested in isolation.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4964"/>
        <w:gridCol w:w="2076"/>
      </w:tblGrid>
      <w:tr>
        <w:tc>
          <w:tcPr>
            <w:tcW w:type="pct" w:w="1100"/>
            <w:shd w:fill="C65B3C" w:color="auto" w:val="clear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pct" w:w="2750"/>
            <w:shd w:fill="C65B3C" w:color="auto" w:val="clear"/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  <w:tc>
          <w:tcPr>
            <w:tcW w:type="pct" w:w="1150"/>
            <w:shd w:fill="C65B3C" w:color="auto" w:val="clear"/>
          </w:tcPr>
          <w:p>
            <w:r>
              <w:rPr>
                <w:b/>
                <w:bCs/>
                <w:color w:val="FFFFFF"/>
              </w:rPr>
              <w:t xml:space="preserve">Key Technology</w:t>
            </w:r>
          </w:p>
        </w:tc>
      </w:tr>
      <w:tr>
        <w:tc>
          <w:tcPr>
            <w:tcW w:type="pct" w:w="1100"/>
          </w:tcPr>
          <w:p>
            <w:r>
              <w:t xml:space="preserve">Presentation Layer</w:t>
            </w:r>
          </w:p>
        </w:tc>
        <w:tc>
          <w:tcPr>
            <w:tcW w:type="pct" w:w="2750"/>
          </w:tcPr>
          <w:p>
            <w:r>
              <w:t xml:space="preserve">Renders UI screens (Home, Search, Showcase, Cart, rule-based Chatbot assistant with persisted conversation)</w:t>
            </w:r>
          </w:p>
        </w:tc>
        <w:tc>
          <w:tcPr>
            <w:tcW w:type="pct" w:w="1150"/>
          </w:tcPr>
          <w:p>
            <w:r>
              <w:t xml:space="preserve">React 19 + TypeScript, SCSS design tokens, shared ui/ primitives</w:t>
            </w:r>
          </w:p>
        </w:tc>
      </w:tr>
      <w:tr>
        <w:tc>
          <w:tcPr>
            <w:tcW w:type="pct" w:w="1100"/>
          </w:tcPr>
          <w:p>
            <w:r>
              <w:t xml:space="preserve">Routing Layer</w:t>
            </w:r>
          </w:p>
        </w:tc>
        <w:tc>
          <w:tcPr>
            <w:tcW w:type="pct" w:w="2750"/>
          </w:tcPr>
          <w:p>
            <w:r>
              <w:t xml:space="preserve">Maps URLs to functional modules</w:t>
            </w:r>
          </w:p>
        </w:tc>
        <w:tc>
          <w:tcPr>
            <w:tcW w:type="pct" w:w="1150"/>
          </w:tcPr>
          <w:p>
            <w:r>
              <w:t xml:space="preserve">React Router</w:t>
            </w:r>
          </w:p>
        </w:tc>
      </w:tr>
      <w:tr>
        <w:tc>
          <w:tcPr>
            <w:tcW w:type="pct" w:w="1100"/>
          </w:tcPr>
          <w:p>
            <w:r>
              <w:t xml:space="preserve">Plugin/Module Layer</w:t>
            </w:r>
          </w:p>
        </w:tc>
        <w:tc>
          <w:tcPr>
            <w:tcW w:type="pct" w:w="2750"/>
          </w:tcPr>
          <w:p>
            <w:r>
              <w:t xml:space="preserve">Registers pluggable functional modules with the host shell</w:t>
            </w:r>
          </w:p>
        </w:tc>
        <w:tc>
          <w:tcPr>
            <w:tcW w:type="pct" w:w="1150"/>
          </w:tcPr>
          <w:p>
            <w:r>
              <w:t xml:space="preserve">Custom Plugin Registry (self-registration pattern)</w:t>
            </w:r>
          </w:p>
        </w:tc>
      </w:tr>
      <w:tr>
        <w:tc>
          <w:tcPr>
            <w:tcW w:type="pct" w:w="1100"/>
          </w:tcPr>
          <w:p>
            <w:r>
              <w:t xml:space="preserve">State/Business Layer</w:t>
            </w:r>
          </w:p>
        </w:tc>
        <w:tc>
          <w:tcPr>
            <w:tcW w:type="pct" w:w="2750"/>
          </w:tcPr>
          <w:p>
            <w:r>
              <w:t xml:space="preserve">Cart logic, filtering/search logic, pricing &amp; discount calculation, cart persistence (localStorage), URL-synced filters</w:t>
            </w:r>
          </w:p>
        </w:tc>
        <w:tc>
          <w:tcPr>
            <w:tcW w:type="pct" w:w="1150"/>
          </w:tcPr>
          <w:p>
            <w:r>
              <w:t xml:space="preserve">React Context + pure TypeScript functions (unit tested)</w:t>
            </w:r>
          </w:p>
        </w:tc>
      </w:tr>
      <w:tr>
        <w:tc>
          <w:tcPr>
            <w:tcW w:type="pct" w:w="1100"/>
          </w:tcPr>
          <w:p>
            <w:r>
              <w:t xml:space="preserve">Service/Integration Layer</w:t>
            </w:r>
          </w:p>
        </w:tc>
        <w:tc>
          <w:tcPr>
            <w:tcW w:type="pct" w:w="2750"/>
          </w:tcPr>
          <w:p>
            <w:r>
              <w:t xml:space="preserve">Talks to backend REST APIs with timeout, bounded retry/backoff (reads only), short-lived response cache; creates orders; manages Web Push subscriptions</w:t>
            </w:r>
          </w:p>
        </w:tc>
        <w:tc>
          <w:tcPr>
            <w:tcW w:type="pct" w:w="1150"/>
          </w:tcPr>
          <w:p>
            <w:r>
              <w:t xml:space="preserve">Fetch-based clients (productService, orderService, httpClient, pushService)</w:t>
            </w:r>
          </w:p>
        </w:tc>
      </w:tr>
      <w:tr>
        <w:tc>
          <w:tcPr>
            <w:tcW w:type="pct" w:w="1100"/>
          </w:tcPr>
          <w:p>
            <w:r>
              <w:t xml:space="preserve">Cross-cutting Concerns</w:t>
            </w:r>
          </w:p>
        </w:tc>
        <w:tc>
          <w:tcPr>
            <w:tcW w:type="pct" w:w="2750"/>
          </w:tcPr>
          <w:p>
            <w:r>
              <w:t xml:space="preserve">Feature flags, telemetry (beacon + global error capture), per-module error boundaries, skeleton/fallback UI, accessibility (focus-managed dialog, axe checks), CSP/security headers, service worker (offline cache + push)</w:t>
            </w:r>
          </w:p>
        </w:tc>
        <w:tc>
          <w:tcPr>
            <w:tcW w:type="pct" w:w="1150"/>
          </w:tcPr>
          <w:p>
            <w:r>
              <w:t xml:space="preserve">Config, ModuleErrorBoundary, telemetry, Workbox service worker</w:t>
            </w:r>
          </w:p>
        </w:tc>
      </w:tr>
    </w:tbl>
    <w:p>
      <w:pPr>
        <w:spacing w:after="200"/>
      </w:pPr>
    </w:p>
    <w:p>
      <w:pPr>
        <w:spacing w:after="60"/>
        <w:jc w:val="center"/>
      </w:pPr>
      <w:r>
        <w:drawing>
          <wp:inline distT="0" distB="0" distL="0" distR="0">
            <wp:extent cx="5905500" cy="31527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 4 - Layered solution architecture</w:t>
      </w:r>
    </w:p>
    <w:p>
      <w:pPr>
        <w:pStyle w:val="Heading2"/>
        <w:spacing w:after="120" w:before="200"/>
      </w:pPr>
      <w:r>
        <w:t xml:space="preserve">4.2 Application / Component Logical Architecture</w:t>
      </w:r>
    </w:p>
    <w:p>
      <w:pPr>
        <w:spacing w:after="120"/>
      </w:pPr>
      <w:r>
        <w:t xml:space="preserve">The diagram below shows how the App Shell, Plugin Registry, React Router and each functional module wire together at the component level, and how every module shares a single Service Layer to reach backend APIs.</w:t>
      </w:r>
    </w:p>
    <w:p>
      <w:pPr>
        <w:spacing w:after="60"/>
        <w:jc w:val="center"/>
      </w:pPr>
      <w:r>
        <w:drawing>
          <wp:inline distT="0" distB="0" distL="0" distR="0">
            <wp:extent cx="5905500" cy="35433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 5 - Application/component logical architecture</w:t>
      </w:r>
    </w:p>
    <w:p>
      <w:pPr>
        <w:pStyle w:val="Heading2"/>
        <w:spacing w:after="120" w:before="200"/>
      </w:pPr>
      <w:r>
        <w:t xml:space="preserve">4.3 Plugin-Based / Pluggable Architecture</w:t>
      </w:r>
    </w:p>
    <w:p>
      <w:pPr>
        <w:spacing w:after="120"/>
      </w:pPr>
      <w:r>
        <w:t xml:space="preserve">RIMSS uses a lightweight Plugin Registry (see src/plugins/PluginRegistry.ts in the working sample). Each functional module (Product Search, Product Showcase, and future modules such as Wishlist or Reviews) self-registers a manifest (id, route, nav label, component) on import. The application shell (App.tsx) never imports feature modules by name - it only renders whatever is registered. This satisfies the requirement that 'any functional module could be plugged into the application' without modifying shell code.</w:t>
      </w:r>
    </w:p>
    <w:p>
      <w:pPr>
        <w:pStyle w:val="Heading2"/>
        <w:spacing w:after="120" w:before="200"/>
      </w:pPr>
      <w:r>
        <w:t xml:space="preserve">4.4 Component Interaction 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lands on Home/Search screen -&gt; ProductSearchModule fetches catalog + facets from productService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applies filters (category, price, color, discount, name) -&gt; pure filterProducts() re-filters client-side instantly; the name box is debounced and all filters are mirrored into the URL so views are shareable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clicks a product -&gt; ProductShowcaseModule fetches product detail by 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clicks Add to Cart -&gt; CartContext dispatches to pure cartLogic functions (addToCart, getCartTotal) and persists the cart to localStorage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opens cart drawer -&gt; reviews items, quantities, discounted totals -&gt; places the order (orderService posts ids and quantities; the API prices it and returns an order id). The real payment gateway remains an integration point, out of scope</w:t>
      </w:r>
    </w:p>
    <w:p>
      <w:pPr>
        <w:pStyle w:val="Heading2"/>
        <w:spacing w:after="120" w:before="200"/>
      </w:pPr>
      <w:r>
        <w:t xml:space="preserve">4.5 Repository &amp; Application Folder Structure</w:t>
      </w:r>
    </w:p>
    <w:p>
      <w:pPr>
        <w:spacing w:after="120"/>
      </w:pPr>
      <w:r>
        <w:t xml:space="preserve">The repository is a Turborepo monorepo. The diagram shows where each concern lives so new team members can navigate the code: feature modules under modules/, shared UI primitives under components/ui, integration code under services/, and API routes, repositories and migrations in rimss-api. Both apps depend on the shared contract package @rimss/shared.</w:t>
      </w:r>
    </w:p>
    <w:p>
      <w:pPr>
        <w:spacing w:after="60"/>
        <w:jc w:val="center"/>
      </w:pPr>
      <w:r>
        <w:drawing>
          <wp:inline distT="0" distB="0" distL="0" distR="0">
            <wp:extent cx="5905500" cy="34480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 7 - Repository and application folder structure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Chatbot (components/Chatbot): rule-based assistant driven by responses.json; keyword intents return canned replies and product suggestions, and the conversation is persisted in localStorage. No backend dependency.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 system (styles/ + components/ui): SCSS variables/mixins and reusable Button, Card, Field, Heading and Table primitives keep modules visually consistent.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Persistence (rimss-api): PostgreSQL with versioned SQL migrations (001_init, 002_order_idempotency) and seed-on-empty catalog; falls back to JSON files when DATABASE_URL is unset.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Orders are idempotent: an optional Idempotency-Key header makes checkout retries return the original order.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Delivery: multi-stage non-root Dockerfiles for web (nginx proxying /api) and API, plus docker-compose with a Postgres service and a full-stack profile.</w:t>
      </w:r>
    </w:p>
    <w:p>
      <w:r>
        <w:br w:type="page"/>
      </w:r>
    </w:p>
    <w:p>
      <w:pPr>
        <w:pStyle w:val="Heading1"/>
        <w:spacing w:after="200"/>
      </w:pPr>
      <w:r>
        <w:t xml:space="preserve">5. Current vs Proposed System</w:t>
      </w:r>
    </w:p>
    <w:p>
      <w:pPr>
        <w:spacing w:after="120"/>
      </w:pPr>
      <w:r>
        <w:t xml:space="preserve">The comparison below maps each issue reported against YCompany's existing website directly to the corresponding RIMSS design decision.</w:t>
      </w:r>
    </w:p>
    <w:p>
      <w:pPr>
        <w:spacing w:after="60"/>
        <w:jc w:val="center"/>
      </w:pPr>
      <w:r>
        <w:drawing>
          <wp:inline distT="0" distB="0" distL="0" distR="0">
            <wp:extent cx="5905500" cy="30480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 6 - Current website issues mapped to the RIMSS solution</w:t>
      </w:r>
    </w:p>
    <w:p>
      <w:r>
        <w:br w:type="page"/>
      </w:r>
    </w:p>
    <w:p>
      <w:pPr>
        <w:pStyle w:val="Heading1"/>
        <w:spacing w:after="200"/>
      </w:pPr>
      <w:r>
        <w:t xml:space="preserve">6. Non-Functional Requirements Coverage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shd w:fill="C65B3C" w:color="auto" w:val="clear"/>
          </w:tcPr>
          <w:p>
            <w:r>
              <w:rPr>
                <w:b/>
                <w:bCs/>
                <w:color w:val="FFFFFF"/>
              </w:rPr>
              <w:t xml:space="preserve">NFR</w:t>
            </w:r>
          </w:p>
        </w:tc>
        <w:tc>
          <w:tcPr>
            <w:tcW w:type="pct" w:w="3500"/>
            <w:shd w:fill="C65B3C" w:color="auto" w:val="clear"/>
          </w:tcPr>
          <w:p>
            <w:r>
              <w:rPr>
                <w:b/>
                <w:bCs/>
                <w:color w:val="FFFFFF"/>
              </w:rPr>
              <w:t xml:space="preserve">Approach</w:t>
            </w:r>
          </w:p>
        </w:tc>
      </w:tr>
      <w:tr>
        <w:tc>
          <w:tcPr>
            <w:tcW w:type="pct" w:w="1500"/>
          </w:tcPr>
          <w:p>
            <w:r>
              <w:t xml:space="preserve">Cross-platform support</w:t>
            </w:r>
          </w:p>
        </w:tc>
        <w:tc>
          <w:tcPr>
            <w:tcW w:type="pct" w:w="3500"/>
          </w:tcPr>
          <w:p>
            <w:r>
              <w:t xml:space="preserve">Responsive CSS Grid/Flexbox layouts; no platform-specific code; tested on desktop, tablet and mobile breakpoints.</w:t>
            </w:r>
          </w:p>
        </w:tc>
      </w:tr>
      <w:tr>
        <w:tc>
          <w:tcPr>
            <w:tcW w:type="pct" w:w="1500"/>
          </w:tcPr>
          <w:p>
            <w:r>
              <w:t xml:space="preserve">Cross-browser compatibility</w:t>
            </w:r>
          </w:p>
        </w:tc>
        <w:tc>
          <w:tcPr>
            <w:tcW w:type="pct" w:w="3500"/>
          </w:tcPr>
          <w:p>
            <w:r>
              <w:t xml:space="preserve">Standards-based React/CSS with Vite's esbuild/Rollup output targeting evergreen browsers (Chrome, Edge, Firefox, Safari).</w:t>
            </w:r>
          </w:p>
        </w:tc>
      </w:tr>
      <w:tr>
        <w:tc>
          <w:tcPr>
            <w:tcW w:type="pct" w:w="1500"/>
          </w:tcPr>
          <w:p>
            <w:r>
              <w:t xml:space="preserve">Smooth UI / rich UX (100ms budget)</w:t>
            </w:r>
          </w:p>
        </w:tc>
        <w:tc>
          <w:tcPr>
            <w:tcW w:type="pct" w:w="3500"/>
          </w:tcPr>
          <w:p>
            <w:r>
              <w:t xml:space="preserve">Client-side filtering (no server round-trip per keystroke), optimistic cart updates, shimmer skeleton placeholders and image fallbacks for network waits, code-splitting per route.</w:t>
            </w:r>
          </w:p>
        </w:tc>
      </w:tr>
      <w:tr>
        <w:tc>
          <w:tcPr>
            <w:tcW w:type="pct" w:w="1500"/>
          </w:tcPr>
          <w:p>
            <w:r>
              <w:t xml:space="preserve">Fast initial load</w:t>
            </w:r>
          </w:p>
        </w:tc>
        <w:tc>
          <w:tcPr>
            <w:tcW w:type="pct" w:w="3500"/>
          </w:tcPr>
          <w:p>
            <w:r>
              <w:t xml:space="preserve">Vite production build with tree-shaking, route-level code splitting, lazy image loading, CDN + gzip/brotli compression.</w:t>
            </w:r>
          </w:p>
        </w:tc>
      </w:tr>
      <w:tr>
        <w:tc>
          <w:tcPr>
            <w:tcW w:type="pct" w:w="1500"/>
          </w:tcPr>
          <w:p>
            <w:r>
              <w:t xml:space="preserve">In-built SEO</w:t>
            </w:r>
          </w:p>
        </w:tc>
        <w:tc>
          <w:tcPr>
            <w:tcW w:type="pct" w:w="3500"/>
          </w:tcPr>
          <w:p>
            <w:r>
              <w:t xml:space="preserve">Server-side rendering or pre-rendering recommended for production (Next.js migration path); semantic HTML, meaningful title/meta tags, descriptive alt text.</w:t>
            </w:r>
          </w:p>
        </w:tc>
      </w:tr>
      <w:tr>
        <w:tc>
          <w:tcPr>
            <w:tcW w:type="pct" w:w="1500"/>
          </w:tcPr>
          <w:p>
            <w:r>
              <w:t xml:space="preserve">Scalability / pluggable design</w:t>
            </w:r>
          </w:p>
        </w:tc>
        <w:tc>
          <w:tcPr>
            <w:tcW w:type="pct" w:w="3500"/>
          </w:tcPr>
          <w:p>
            <w:r>
              <w:t xml:space="preserve">Plugin Registry pattern lets new modules be added without touching shell code; stateless SPA scales horizontally behind a CDN.</w:t>
            </w:r>
          </w:p>
        </w:tc>
      </w:tr>
      <w:tr>
        <w:tc>
          <w:tcPr>
            <w:tcW w:type="pct" w:w="1500"/>
          </w:tcPr>
          <w:p>
            <w:r>
              <w:t xml:space="preserve">Logging / debuggability / observability</w:t>
            </w:r>
          </w:p>
        </w:tc>
        <w:tc>
          <w:tcPr>
            <w:tcW w:type="pct" w:w="3500"/>
          </w:tcPr>
          <w:p>
            <w:r>
              <w:t xml:space="preserve">Single telemetry sink (setTelemetrySink) receives module crashes, HTTP retries and analytics events (page views, add to cart, checkout); events are stored locally via POST /api/telemetry in a JSON file and the sink is pluggable to Sentry/App Insights without changing call sites. API logs are structured (pino) with request ids and masked credentials.</w:t>
            </w:r>
          </w:p>
        </w:tc>
      </w:tr>
      <w:tr>
        <w:tc>
          <w:tcPr>
            <w:tcW w:type="pct" w:w="1500"/>
          </w:tcPr>
          <w:p>
            <w:r>
              <w:t xml:space="preserve">Resilience / graceful degradation</w:t>
            </w:r>
          </w:p>
        </w:tc>
        <w:tc>
          <w:tcPr>
            <w:tcW w:type="pct" w:w="3500"/>
          </w:tcPr>
          <w:p>
            <w:r>
              <w:t xml:space="preserve">Fetch timeout + bounded exponential-backoff retry (5xx/network only); per-module error boundary isolates crashes; reusable ErrorFallback with retry; offline app shell and cached API via service worker.</w:t>
            </w:r>
          </w:p>
        </w:tc>
      </w:tr>
      <w:tr>
        <w:tc>
          <w:tcPr>
            <w:tcW w:type="pct" w:w="1500"/>
          </w:tcPr>
          <w:p>
            <w:r>
              <w:t xml:space="preserve">Engagement / re-engagement</w:t>
            </w:r>
          </w:p>
        </w:tc>
        <w:tc>
          <w:tcPr>
            <w:tcW w:type="pct" w:w="3500"/>
          </w:tcPr>
          <w:p>
            <w:r>
              <w:t xml:space="preserve">Opt-in Web Push notifications (VAPID) via the service worker for offers and restocks; user can enable/disable from the header.</w:t>
            </w:r>
          </w:p>
        </w:tc>
      </w:tr>
      <w:tr>
        <w:tc>
          <w:tcPr>
            <w:tcW w:type="pct" w:w="1500"/>
          </w:tcPr>
          <w:p>
            <w:r>
              <w:t xml:space="preserve">Feature toggling</w:t>
            </w:r>
          </w:p>
        </w:tc>
        <w:tc>
          <w:tcPr>
            <w:tcW w:type="pct" w:w="3500"/>
          </w:tcPr>
          <w:p>
            <w:r>
              <w:t xml:space="preserve">VITE_DISABLED_MODULES switches functional modules off per environment with no code change.</w:t>
            </w:r>
          </w:p>
        </w:tc>
      </w:tr>
      <w:tr>
        <w:tc>
          <w:tcPr>
            <w:tcW w:type="pct" w:w="1500"/>
          </w:tcPr>
          <w:p>
            <w:r>
              <w:t xml:space="preserve">Unit testability</w:t>
            </w:r>
          </w:p>
        </w:tc>
        <w:tc>
          <w:tcPr>
            <w:tcW w:type="pct" w:w="3500"/>
          </w:tcPr>
          <w:p>
            <w:r>
              <w:t xml:space="preserve">Business logic (cart, filtering) as pure functions plus component, service and module tests (Vitest + Testing Library, 160 tests); UI states documented in Storybook.</w:t>
            </w:r>
          </w:p>
        </w:tc>
      </w:tr>
      <w:tr>
        <w:tc>
          <w:tcPr>
            <w:tcW w:type="pct" w:w="1500"/>
          </w:tcPr>
          <w:p>
            <w:r>
              <w:t xml:space="preserve">CI/CD readiness</w:t>
            </w:r>
          </w:p>
        </w:tc>
        <w:tc>
          <w:tcPr>
            <w:tcW w:type="pct" w:w="3500"/>
          </w:tcPr>
          <w:p>
            <w:r>
              <w:t xml:space="preserve">GitHub Actions workflow runs lint, tests and build on every push; npm scripts are pipeline-ready.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t xml:space="preserve">7. Performance</w:t>
      </w:r>
    </w:p>
    <w:p>
      <w:pPr>
        <w:pStyle w:val="Heading2"/>
        <w:spacing w:after="120" w:before="200"/>
      </w:pPr>
      <w:r>
        <w:t xml:space="preserve">7.1 Load Time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Vite production bundling: ES module output, minification, and gzip: ~85KB gzipped JS in the working sample.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Code-split routes (Search vs. Showcase) so only the needed module loads per screen.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Lazy-loaded product images (loading="lazy") and responsive image sizing.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PWA service worker precaches the app shell for instant repeat visits and offline start-up; API responses use stale-while-revalidate, images cache-first.</w:t>
      </w:r>
    </w:p>
    <w:p>
      <w:pPr>
        <w:pStyle w:val="Heading2"/>
        <w:spacing w:after="120" w:before="200"/>
      </w:pPr>
      <w:r>
        <w:t xml:space="preserve">7.2 Interaction Responsiveness (100ms budget)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Filtering/search executes client-side against an in-memory catalog snapshot - no network latency per interaction.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Cart operations are synchronous, pure-function state updates via React state, avoiding unnecessary re-renders through memoization (useMemo).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Skeleton placeholders render immediately for any operation that requires a network round trip (catalog fetch, product detail, images), preserving layout and perceived speed.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Requests are bounded by an 8s timeout and up to 2 retries with exponential backoff, so transient failures self-heal instead of freezing the UI.</w:t>
      </w:r>
    </w:p>
    <w:p>
      <w:pPr>
        <w:pStyle w:val="Heading2"/>
        <w:spacing w:after="120" w:before="200"/>
      </w:pPr>
      <w:r>
        <w:t xml:space="preserve">7.3 Scalability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Stateless SPA can be served from a CDN and scaled independently of backend services.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 APIs (assumed provided) can be scaled/cached independently; client is decoupled via the service layer abstraction.</w:t>
      </w:r>
    </w:p>
    <w:p>
      <w:r>
        <w:br w:type="page"/>
      </w:r>
    </w:p>
    <w:p>
      <w:pPr>
        <w:pStyle w:val="Heading1"/>
        <w:spacing w:after="200"/>
      </w:pPr>
      <w:r>
        <w:t xml:space="preserve">8. Assumptions &amp; Scope</w:t>
      </w:r>
    </w:p>
    <w:p>
      <w:pPr>
        <w:pStyle w:val="Heading2"/>
        <w:spacing w:after="120" w:before="200"/>
      </w:pPr>
      <w:r>
        <w:t xml:space="preserve">8.1 In Scope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Home page, Product Search (with filters: category, price, discount, name, color), Product Showcase, Shopping Cart UI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Plugin-based frontend architecture with at least one fully implemented functional module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 API (Express + TypeScript): catalog search, server-side pricing/quote, orders, Web Push - full-stack option, delivered in a Turborepo monorepo with a shared contract package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Mock/stub backend APIs (Node.js/Express + static JSON) to unblock frontend development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Unit tests for business layer logic (cart &amp; filtering) plus component, service and module tests; Storybook for UI states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Installable PWA (offline app shell, update prompt) and opt-in Web Push notifications, backed by a mock push endpoint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Resilience and operations: retrying HTTP client, module error boundaries, telemetry hook, feature flags, CI workflow</w:t>
      </w:r>
    </w:p>
    <w:p>
      <w:pPr>
        <w:pStyle w:val="Heading2"/>
        <w:spacing w:after="120" w:before="200"/>
      </w:pPr>
      <w:r>
        <w:t xml:space="preserve">8.2 Out of Scope (per assignment instructions)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Production hosting, persistent database and real payment processor for the sample backend (client-provided APIs remain the production source of truth)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payment gateway integration - UI stub only ('Proceed to Payment Gateway' button)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Authentication/authorization and admin/inventory management screens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Production SEO/SSR implementation (documented as a recommended follow-on)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Production push campaign tooling, segmentation and VAPID key management (mock broadcast endpoint only)</w:t>
      </w:r>
    </w:p>
    <w:p>
      <w:pPr>
        <w:pStyle w:val="Heading2"/>
        <w:spacing w:after="120" w:before="200"/>
      </w:pPr>
      <w:r>
        <w:t xml:space="preserve">8.3 Assumptions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Client will supply production REST/GraphQL APIs matching the contract used by productService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 catalog size is moderate (thousands, not millions, of SKUs) suitable for client-side filtering of a paged/fetched subset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Modern evergreen browser support is sufficient; no legacy IE11 support required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 Push requires HTTPS and a browser with service worker and Push API support; unsupported browsers simply hide the alerts toggle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24ca80fb3160c2cb70964998c31b29ad61ef6c56.png"/><Relationship Id="rId8" Type="http://schemas.openxmlformats.org/officeDocument/2006/relationships/image" Target="media/5eb5d514cc475412d1c90143bbc8b528b2a1d7a4.png"/><Relationship Id="rId9" Type="http://schemas.openxmlformats.org/officeDocument/2006/relationships/image" Target="media/3b5ef2dfc18d272cd255b975cc15d9f15bdf50f0.png"/><Relationship Id="rId10" Type="http://schemas.openxmlformats.org/officeDocument/2006/relationships/image" Target="media/bd4af2b2ad5ea46793e3c523308e9cff61066cfe.png"/><Relationship Id="rId11" Type="http://schemas.openxmlformats.org/officeDocument/2006/relationships/image" Target="media/8f1b1128bfed4cea7f9d37e3bca04e92fe533313.png"/><Relationship Id="rId12" Type="http://schemas.openxmlformats.org/officeDocument/2006/relationships/image" Target="media/2275bea2dd7cde080414cb82b40b27ec6fbfcef1.png"/><Relationship Id="rId13" Type="http://schemas.openxmlformats.org/officeDocument/2006/relationships/image" Target="media/45dc2e6cf92b5ad31228fd175dde4cb272c3068a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2026-10-14T12:25:54.836Z</dcterms:created>
  <dcterms:modified xsi:type="dcterms:W3CDTF">2026-10-14T12:25:54.837Z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