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56DB"/>
          <w:sz w:val="56"/>
        </w:rPr>
        <w:t>贵州西工集团</w:t>
      </w:r>
    </w:p>
    <w:p>
      <w:pPr>
        <w:jc w:val="center"/>
      </w:pPr>
      <w:r>
        <w:rPr>
          <w:b/>
          <w:color w:val="333333"/>
          <w:sz w:val="48"/>
        </w:rPr>
        <w:t>智能合同审查系统</w:t>
      </w:r>
    </w:p>
    <w:p/>
    <w:p>
      <w:pPr>
        <w:jc w:val="center"/>
      </w:pPr>
      <w:r>
        <w:rPr>
          <w:color w:val="666666"/>
          <w:sz w:val="32"/>
        </w:rPr>
        <w:t>系统介绍与技术架构</w:t>
      </w:r>
    </w:p>
    <w:p/>
    <w:p/>
    <w:p/>
    <w:p/>
    <w:p>
      <w:pPr>
        <w:jc w:val="center"/>
      </w:pPr>
      <w:r>
        <w:rPr>
          <w:color w:val="999999"/>
          <w:sz w:val="24"/>
        </w:rPr>
        <w:t>版本: V2.0</w:t>
        <w:br/>
        <w:t>日期: 2026年6月</w:t>
      </w:r>
    </w:p>
    <w:p>
      <w:r>
        <w:br w:type="page"/>
      </w:r>
    </w:p>
    <w:p>
      <w:pPr>
        <w:pStyle w:val="Heading1"/>
      </w:pPr>
      <w:r>
        <w:rPr>
          <w:color w:val="1A56DB"/>
        </w:rPr>
        <w:t>目  录</w:t>
      </w:r>
    </w:p>
    <w:p>
      <w:pPr>
        <w:spacing w:after="80"/>
      </w:pPr>
      <w:r>
        <w:t>一、系统概述</w:t>
      </w:r>
    </w:p>
    <w:p>
      <w:pPr>
        <w:spacing w:after="80"/>
      </w:pPr>
      <w:r>
        <w:t>二、核心功能</w:t>
      </w:r>
    </w:p>
    <w:p>
      <w:pPr>
        <w:spacing w:after="80"/>
      </w:pPr>
      <w:r>
        <w:t xml:space="preserve">    2.1 AI智能审查</w:t>
      </w:r>
    </w:p>
    <w:p>
      <w:pPr>
        <w:spacing w:after="80"/>
      </w:pPr>
      <w:r>
        <w:t xml:space="preserve">    2.2 风控规则引擎</w:t>
      </w:r>
    </w:p>
    <w:p>
      <w:pPr>
        <w:spacing w:after="80"/>
      </w:pPr>
      <w:r>
        <w:t xml:space="preserve">    2.3 智能文件处理</w:t>
      </w:r>
    </w:p>
    <w:p>
      <w:pPr>
        <w:spacing w:after="80"/>
      </w:pPr>
      <w:r>
        <w:t xml:space="preserve">    2.4 知识库与自学习</w:t>
      </w:r>
    </w:p>
    <w:p>
      <w:pPr>
        <w:spacing w:after="80"/>
      </w:pPr>
      <w:r>
        <w:t xml:space="preserve">    2.5 合规追踪与报告</w:t>
      </w:r>
    </w:p>
    <w:p>
      <w:pPr>
        <w:spacing w:after="80"/>
      </w:pPr>
      <w:r>
        <w:t>三、技术架构</w:t>
      </w:r>
    </w:p>
    <w:p>
      <w:pPr>
        <w:spacing w:after="80"/>
      </w:pPr>
      <w:r>
        <w:t>四、技术栈</w:t>
      </w:r>
    </w:p>
    <w:p>
      <w:pPr>
        <w:spacing w:after="80"/>
      </w:pPr>
      <w:r>
        <w:t>五、用户角色</w:t>
      </w:r>
    </w:p>
    <w:p>
      <w:pPr>
        <w:spacing w:after="80"/>
      </w:pPr>
      <w:r>
        <w:t>六、部署方式</w:t>
      </w:r>
    </w:p>
    <w:p>
      <w:pPr>
        <w:spacing w:after="80"/>
      </w:pPr>
      <w:r>
        <w:t>七、核心优势</w:t>
      </w:r>
    </w:p>
    <w:p>
      <w:pPr>
        <w:spacing w:after="80"/>
      </w:pPr>
      <w:r>
        <w:t>八、代码规模</w:t>
      </w:r>
    </w:p>
    <w:p>
      <w:pPr>
        <w:spacing w:after="80"/>
      </w:pPr>
      <w:r>
        <w:t>九、快速开始</w:t>
      </w:r>
    </w:p>
    <w:p>
      <w:r>
        <w:br w:type="page"/>
      </w:r>
    </w:p>
    <w:p>
      <w:pPr>
        <w:pStyle w:val="Heading1"/>
      </w:pPr>
      <w:r>
        <w:rPr>
          <w:color w:val="1A56DB"/>
        </w:rPr>
        <w:t>一、系统概述</w:t>
      </w:r>
    </w:p>
    <w:p>
      <w:r>
        <w:rPr>
          <w:b/>
        </w:rPr>
        <w:t>智能合同审查系统</w:t>
      </w:r>
      <w:r>
        <w:t>是一款基于AI技术的企业级合同风险管理平台，专为贵州西工集团量身打造。系统通过5-Agent协作架构、23条行业风控规则、14种毒丸条款检测等核心技术，实现合同全生命周期的智能化管理。</w:t>
      </w:r>
    </w:p>
    <w:p>
      <w:r>
        <w:t>系统采用前后端分离架构，前端基于Vue 3 + TypeScript + Element Plus，后端基于FastAPI + Python + PostgreSQL，支持Docker容器化部署，可快速扩展至企业级应用。</w:t>
      </w:r>
    </w:p>
    <w:p/>
    <w:p>
      <w:pPr>
        <w:pStyle w:val="Heading2"/>
      </w:pPr>
      <w:r>
        <w:rPr>
          <w:color w:val="1A56DB"/>
        </w:rPr>
        <w:t>系统亮点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特性</w:t>
            </w:r>
          </w:p>
        </w:tc>
        <w:tc>
          <w:tcPr>
            <w:tcW w:type="dxa" w:w="5669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268"/>
            <w:shd w:fill="F0F4FF" w:val="clear"/>
          </w:tcPr>
          <w:p>
            <w:r>
              <w:rPr>
                <w:sz w:val="20"/>
              </w:rPr>
              <w:t>5-Agent协作</w:t>
            </w:r>
          </w:p>
        </w:tc>
        <w:tc>
          <w:tcPr>
            <w:tcW w:type="dxa" w:w="5669"/>
            <w:shd w:fill="F0F4FF" w:val="clear"/>
          </w:tcPr>
          <w:p>
            <w:r>
              <w:rPr>
                <w:sz w:val="20"/>
              </w:rPr>
              <w:t>法律/财务/商务/风控/知识五维审查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23条行业规则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覆盖采购/销售/外协/物流/租赁</w:t>
            </w:r>
          </w:p>
        </w:tc>
      </w:tr>
      <w:tr>
        <w:tc>
          <w:tcPr>
            <w:tcW w:type="dxa" w:w="2268"/>
            <w:shd w:fill="F0F4FF" w:val="clear"/>
          </w:tcPr>
          <w:p>
            <w:r>
              <w:rPr>
                <w:sz w:val="20"/>
              </w:rPr>
              <w:t>14种毒丸检测</w:t>
            </w:r>
          </w:p>
        </w:tc>
        <w:tc>
          <w:tcPr>
            <w:tcW w:type="dxa" w:w="5669"/>
            <w:shd w:fill="F0F4FF" w:val="clear"/>
          </w:tcPr>
          <w:p>
            <w:r>
              <w:rPr>
                <w:sz w:val="20"/>
              </w:rPr>
              <w:t>结构隐藏/语言红旗/行为模式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12格式解析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PDF/Word/Excel/PPT/图片OCR</w:t>
            </w:r>
          </w:p>
        </w:tc>
      </w:tr>
      <w:tr>
        <w:tc>
          <w:tcPr>
            <w:tcW w:type="dxa" w:w="2268"/>
            <w:shd w:fill="F0F4FF" w:val="clear"/>
          </w:tcPr>
          <w:p>
            <w:r>
              <w:rPr>
                <w:sz w:val="20"/>
              </w:rPr>
              <w:t>自学习循环</w:t>
            </w:r>
          </w:p>
        </w:tc>
        <w:tc>
          <w:tcPr>
            <w:tcW w:type="dxa" w:w="5669"/>
            <w:shd w:fill="F0F4FF" w:val="clear"/>
          </w:tcPr>
          <w:p>
            <w:r>
              <w:rPr>
                <w:sz w:val="20"/>
              </w:rPr>
              <w:t>FP-Growth关联规则挖掘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56DB"/>
        </w:rPr>
        <w:t>二、核心功能</w:t>
      </w:r>
    </w:p>
    <w:p>
      <w:pPr>
        <w:pStyle w:val="Heading2"/>
      </w:pPr>
      <w:r>
        <w:rPr>
          <w:color w:val="1A56DB"/>
        </w:rPr>
        <w:t>2.1 AI智能审查</w:t>
      </w:r>
    </w:p>
    <w:p>
      <w:r>
        <w:rPr>
          <w:sz w:val="22"/>
        </w:rPr>
        <w:t>系统采用</w:t>
      </w:r>
      <w:r>
        <w:rPr>
          <w:b/>
          <w:color w:val="1A56DB"/>
        </w:rPr>
        <w:t>5-Agent协作架构</w:t>
      </w:r>
      <w:r>
        <w:t>，从法律、财务、商务、风控、知识五个维度对合同进行全面审查。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Agent名称</w:t>
            </w:r>
          </w:p>
        </w:tc>
        <w:tc>
          <w:tcPr>
            <w:tcW w:type="dxa" w:w="1134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权重</w:t>
            </w:r>
          </w:p>
        </w:tc>
        <w:tc>
          <w:tcPr>
            <w:tcW w:type="dxa" w:w="3969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职责</w:t>
            </w:r>
          </w:p>
        </w:tc>
      </w:tr>
      <w:tr>
        <w:tc>
          <w:tcPr>
            <w:tcW w:type="dxa" w:w="2835"/>
            <w:shd w:fill="F0F4FF" w:val="clear"/>
          </w:tcPr>
          <w:p>
            <w:r>
              <w:rPr>
                <w:sz w:val="20"/>
              </w:rPr>
              <w:t>法律合规Agent ⚖️</w:t>
            </w:r>
          </w:p>
        </w:tc>
        <w:tc>
          <w:tcPr>
            <w:tcW w:type="dxa" w:w="1134"/>
            <w:shd w:fill="F0F4FF" w:val="clear"/>
          </w:tcPr>
          <w:p>
            <w:r>
              <w:rPr>
                <w:sz w:val="20"/>
              </w:rPr>
              <w:t>30%</w:t>
            </w:r>
          </w:p>
        </w:tc>
        <w:tc>
          <w:tcPr>
            <w:tcW w:type="dxa" w:w="3969"/>
            <w:shd w:fill="F0F4FF" w:val="clear"/>
          </w:tcPr>
          <w:p>
            <w:r>
              <w:rPr>
                <w:sz w:val="20"/>
              </w:rPr>
              <w:t>法律风险识别、合规性检查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财务风险Agent 💰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20%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财务条款风险、付款条件分析</w:t>
            </w:r>
          </w:p>
        </w:tc>
      </w:tr>
      <w:tr>
        <w:tc>
          <w:tcPr>
            <w:tcW w:type="dxa" w:w="2835"/>
            <w:shd w:fill="F0F4FF" w:val="clear"/>
          </w:tcPr>
          <w:p>
            <w:r>
              <w:rPr>
                <w:sz w:val="20"/>
              </w:rPr>
              <w:t>商务条件Agent 📋</w:t>
            </w:r>
          </w:p>
        </w:tc>
        <w:tc>
          <w:tcPr>
            <w:tcW w:type="dxa" w:w="1134"/>
            <w:shd w:fill="F0F4FF" w:val="clear"/>
          </w:tcPr>
          <w:p>
            <w:r>
              <w:rPr>
                <w:sz w:val="20"/>
              </w:rPr>
              <w:t>15%</w:t>
            </w:r>
          </w:p>
        </w:tc>
        <w:tc>
          <w:tcPr>
            <w:tcW w:type="dxa" w:w="3969"/>
            <w:shd w:fill="F0F4FF" w:val="clear"/>
          </w:tcPr>
          <w:p>
            <w:r>
              <w:rPr>
                <w:sz w:val="20"/>
              </w:rPr>
              <w:t>商务条款合理性、交付条件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风控规则Agent 🛡️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20%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23条行业规则+14种毒丸检测</w:t>
            </w:r>
          </w:p>
        </w:tc>
      </w:tr>
      <w:tr>
        <w:tc>
          <w:tcPr>
            <w:tcW w:type="dxa" w:w="2835"/>
            <w:shd w:fill="F0F4FF" w:val="clear"/>
          </w:tcPr>
          <w:p>
            <w:r>
              <w:rPr>
                <w:sz w:val="20"/>
              </w:rPr>
              <w:t>知识图谱Agent 🧠</w:t>
            </w:r>
          </w:p>
        </w:tc>
        <w:tc>
          <w:tcPr>
            <w:tcW w:type="dxa" w:w="1134"/>
            <w:shd w:fill="F0F4FF" w:val="clear"/>
          </w:tcPr>
          <w:p>
            <w:r>
              <w:rPr>
                <w:sz w:val="20"/>
              </w:rPr>
              <w:t>15%</w:t>
            </w:r>
          </w:p>
        </w:tc>
        <w:tc>
          <w:tcPr>
            <w:tcW w:type="dxa" w:w="3969"/>
            <w:shd w:fill="F0F4FF" w:val="clear"/>
          </w:tcPr>
          <w:p>
            <w:r>
              <w:rPr>
                <w:sz w:val="20"/>
              </w:rPr>
              <w:t>历史案例匹配、相似合同检索</w:t>
            </w:r>
          </w:p>
        </w:tc>
      </w:tr>
    </w:tbl>
    <w:p/>
    <w:p>
      <w:r>
        <w:rPr>
          <w:b/>
        </w:rPr>
        <w:t>四维加权风险评估模型: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02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1134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权重</w:t>
            </w:r>
          </w:p>
        </w:tc>
        <w:tc>
          <w:tcPr>
            <w:tcW w:type="dxa" w:w="3402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402"/>
            <w:shd w:fill="F0F4FF" w:val="clear"/>
          </w:tcPr>
          <w:p>
            <w:r>
              <w:rPr>
                <w:sz w:val="20"/>
              </w:rPr>
              <w:t>严重度 (Severity)</w:t>
            </w:r>
          </w:p>
        </w:tc>
        <w:tc>
          <w:tcPr>
            <w:tcW w:type="dxa" w:w="1134"/>
            <w:shd w:fill="F0F4FF" w:val="clear"/>
          </w:tcPr>
          <w:p>
            <w:r>
              <w:rPr>
                <w:sz w:val="20"/>
              </w:rPr>
              <w:t>40%</w:t>
            </w:r>
          </w:p>
        </w:tc>
        <w:tc>
          <w:tcPr>
            <w:tcW w:type="dxa" w:w="3402"/>
            <w:shd w:fill="F0F4FF" w:val="clear"/>
          </w:tcPr>
          <w:p>
            <w:r>
              <w:rPr>
                <w:sz w:val="20"/>
              </w:rPr>
              <w:t>风险事件造成的损失程度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可能性 (Probability)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25%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风险事件发生的概率</w:t>
            </w:r>
          </w:p>
        </w:tc>
      </w:tr>
      <w:tr>
        <w:tc>
          <w:tcPr>
            <w:tcW w:type="dxa" w:w="3402"/>
            <w:shd w:fill="F0F4FF" w:val="clear"/>
          </w:tcPr>
          <w:p>
            <w:r>
              <w:rPr>
                <w:sz w:val="20"/>
              </w:rPr>
              <w:t>财务敞口 (Financial Exposure)</w:t>
            </w:r>
          </w:p>
        </w:tc>
        <w:tc>
          <w:tcPr>
            <w:tcW w:type="dxa" w:w="1134"/>
            <w:shd w:fill="F0F4FF" w:val="clear"/>
          </w:tcPr>
          <w:p>
            <w:r>
              <w:rPr>
                <w:sz w:val="20"/>
              </w:rPr>
              <w:t>20%</w:t>
            </w:r>
          </w:p>
        </w:tc>
        <w:tc>
          <w:tcPr>
            <w:tcW w:type="dxa" w:w="3402"/>
            <w:shd w:fill="F0F4FF" w:val="clear"/>
          </w:tcPr>
          <w:p>
            <w:r>
              <w:rPr>
                <w:sz w:val="20"/>
              </w:rPr>
              <w:t>潜在财务损失金额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责任不对等 (Responsibility Imbalance)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15%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甲乙方责任分配公平性</w:t>
            </w:r>
          </w:p>
        </w:tc>
      </w:tr>
    </w:tbl>
    <w:p>
      <w:r>
        <w:br w:type="page"/>
      </w:r>
    </w:p>
    <w:p>
      <w:pPr>
        <w:pStyle w:val="Heading2"/>
      </w:pPr>
      <w:r>
        <w:rPr>
          <w:color w:val="1A56DB"/>
        </w:rPr>
        <w:t>2.2 风控规则引擎</w:t>
      </w:r>
    </w:p>
    <w:p>
      <w:r>
        <w:rPr>
          <w:sz w:val="22"/>
        </w:rPr>
        <w:t>系统内置</w:t>
      </w:r>
      <w:r>
        <w:rPr>
          <w:b/>
        </w:rPr>
        <w:t>23条行业风控规则 (IR-001~IR-023)</w:t>
      </w:r>
      <w:r>
        <w:t>和</w:t>
      </w:r>
      <w:r>
        <w:rPr>
          <w:b/>
        </w:rPr>
        <w:t>14种毒丸条款检测模式</w:t>
      </w:r>
      <w:r>
        <w:t>，覆盖制造业合同的各个风险维度。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类别</w:t>
            </w:r>
          </w:p>
        </w:tc>
        <w:tc>
          <w:tcPr>
            <w:tcW w:type="dxa" w:w="1701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规则编号</w:t>
            </w:r>
          </w:p>
        </w:tc>
        <w:tc>
          <w:tcPr>
            <w:tcW w:type="dxa" w:w="4535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覆盖范围</w:t>
            </w:r>
          </w:p>
        </w:tc>
      </w:tr>
      <w:tr>
        <w:tc>
          <w:tcPr>
            <w:tcW w:type="dxa" w:w="1701"/>
            <w:shd w:fill="F0F4FF" w:val="clear"/>
          </w:tcPr>
          <w:p>
            <w:r>
              <w:rPr>
                <w:sz w:val="20"/>
              </w:rPr>
              <w:t>采购类</w:t>
            </w:r>
          </w:p>
        </w:tc>
        <w:tc>
          <w:tcPr>
            <w:tcW w:type="dxa" w:w="1701"/>
            <w:shd w:fill="F0F4FF" w:val="clear"/>
          </w:tcPr>
          <w:p>
            <w:r>
              <w:rPr>
                <w:sz w:val="20"/>
              </w:rPr>
              <w:t>IR-001~IR-005</w:t>
            </w:r>
          </w:p>
        </w:tc>
        <w:tc>
          <w:tcPr>
            <w:tcW w:type="dxa" w:w="4535"/>
            <w:shd w:fill="F0F4FF" w:val="clear"/>
          </w:tcPr>
          <w:p>
            <w:r>
              <w:rPr>
                <w:sz w:val="20"/>
              </w:rPr>
              <w:t>供应商资质、价格合理性、质量标准、交付风险、付款条件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销售类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IR-006~IR-010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客户信用、付款保障、产品责任、售后服务、违约赔偿</w:t>
            </w:r>
          </w:p>
        </w:tc>
      </w:tr>
      <w:tr>
        <w:tc>
          <w:tcPr>
            <w:tcW w:type="dxa" w:w="1701"/>
            <w:shd w:fill="F0F4FF" w:val="clear"/>
          </w:tcPr>
          <w:p>
            <w:r>
              <w:rPr>
                <w:sz w:val="20"/>
              </w:rPr>
              <w:t>外协类</w:t>
            </w:r>
          </w:p>
        </w:tc>
        <w:tc>
          <w:tcPr>
            <w:tcW w:type="dxa" w:w="1701"/>
            <w:shd w:fill="F0F4FF" w:val="clear"/>
          </w:tcPr>
          <w:p>
            <w:r>
              <w:rPr>
                <w:sz w:val="20"/>
              </w:rPr>
              <w:t>IR-011~IR-015</w:t>
            </w:r>
          </w:p>
        </w:tc>
        <w:tc>
          <w:tcPr>
            <w:tcW w:type="dxa" w:w="4535"/>
            <w:shd w:fill="F0F4FF" w:val="clear"/>
          </w:tcPr>
          <w:p>
            <w:r>
              <w:rPr>
                <w:sz w:val="20"/>
              </w:rPr>
              <w:t>转包风险、技术能力、保密义务、知识产权、验收标准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物流类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IR-016~IR-019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运输责任、仓储风险、货物保险、延迟交付</w:t>
            </w:r>
          </w:p>
        </w:tc>
      </w:tr>
      <w:tr>
        <w:tc>
          <w:tcPr>
            <w:tcW w:type="dxa" w:w="1701"/>
            <w:shd w:fill="F0F4FF" w:val="clear"/>
          </w:tcPr>
          <w:p>
            <w:r>
              <w:rPr>
                <w:sz w:val="20"/>
              </w:rPr>
              <w:t>租赁类</w:t>
            </w:r>
          </w:p>
        </w:tc>
        <w:tc>
          <w:tcPr>
            <w:tcW w:type="dxa" w:w="1701"/>
            <w:shd w:fill="F0F4FF" w:val="clear"/>
          </w:tcPr>
          <w:p>
            <w:r>
              <w:rPr>
                <w:sz w:val="20"/>
              </w:rPr>
              <w:t>IR-020~IR-023</w:t>
            </w:r>
          </w:p>
        </w:tc>
        <w:tc>
          <w:tcPr>
            <w:tcW w:type="dxa" w:w="4535"/>
            <w:shd w:fill="F0F4FF" w:val="clear"/>
          </w:tcPr>
          <w:p>
            <w:r>
              <w:rPr>
                <w:sz w:val="20"/>
              </w:rPr>
              <w:t>租金支付、维修责任、转租限制、合同解除</w:t>
            </w:r>
          </w:p>
        </w:tc>
      </w:tr>
    </w:tbl>
    <w:p/>
    <w:p>
      <w:r>
        <w:rPr>
          <w:b/>
        </w:rPr>
        <w:t>毒丸条款检测: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1701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4535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检测内容</w:t>
            </w:r>
          </w:p>
        </w:tc>
      </w:tr>
      <w:tr>
        <w:tc>
          <w:tcPr>
            <w:tcW w:type="dxa" w:w="1701"/>
            <w:shd w:fill="F0F4FF" w:val="clear"/>
          </w:tcPr>
          <w:p>
            <w:r>
              <w:rPr>
                <w:sz w:val="20"/>
              </w:rPr>
              <w:t>结构隐藏型</w:t>
            </w:r>
          </w:p>
        </w:tc>
        <w:tc>
          <w:tcPr>
            <w:tcW w:type="dxa" w:w="1701"/>
            <w:shd w:fill="F0F4FF" w:val="clear"/>
          </w:tcPr>
          <w:p>
            <w:r>
              <w:rPr>
                <w:sz w:val="20"/>
              </w:rPr>
              <w:t>PP-S1~S5</w:t>
            </w:r>
          </w:p>
        </w:tc>
        <w:tc>
          <w:tcPr>
            <w:tcW w:type="dxa" w:w="4535"/>
            <w:shd w:fill="F0F4FF" w:val="clear"/>
          </w:tcPr>
          <w:p>
            <w:r>
              <w:rPr>
                <w:sz w:val="20"/>
              </w:rPr>
              <w:t>违约陷阱、赔偿上限、单方终止、自动续约、竞业禁止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语言红旗型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PP-L1~L8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模糊表述、单方权利、无限责任、霸王条款、连坐条款、期限陷阱、管辖陷阱、排除救济</w:t>
            </w:r>
          </w:p>
        </w:tc>
      </w:tr>
      <w:tr>
        <w:tc>
          <w:tcPr>
            <w:tcW w:type="dxa" w:w="1701"/>
            <w:shd w:fill="F0F4FF" w:val="clear"/>
          </w:tcPr>
          <w:p>
            <w:r>
              <w:rPr>
                <w:sz w:val="20"/>
              </w:rPr>
              <w:t>行为模式型</w:t>
            </w:r>
          </w:p>
        </w:tc>
        <w:tc>
          <w:tcPr>
            <w:tcW w:type="dxa" w:w="1701"/>
            <w:shd w:fill="F0F4FF" w:val="clear"/>
          </w:tcPr>
          <w:p>
            <w:r>
              <w:rPr>
                <w:sz w:val="20"/>
              </w:rPr>
              <w:t>PP-B1</w:t>
            </w:r>
          </w:p>
        </w:tc>
        <w:tc>
          <w:tcPr>
            <w:tcW w:type="dxa" w:w="4535"/>
            <w:shd w:fill="F0F4FF" w:val="clear"/>
          </w:tcPr>
          <w:p>
            <w:r>
              <w:rPr>
                <w:sz w:val="20"/>
              </w:rPr>
              <w:t>阴阳合同、异常付款路径</w:t>
            </w:r>
          </w:p>
        </w:tc>
      </w:tr>
    </w:tbl>
    <w:p>
      <w:r>
        <w:br w:type="page"/>
      </w:r>
    </w:p>
    <w:p>
      <w:pPr>
        <w:pStyle w:val="Heading2"/>
      </w:pPr>
      <w:r>
        <w:rPr>
          <w:color w:val="1A56DB"/>
        </w:rPr>
        <w:t>2.3 智能文件处理</w:t>
      </w:r>
    </w:p>
    <w:p>
      <w:r>
        <w:rPr>
          <w:sz w:val="22"/>
        </w:rPr>
        <w:t>系统支持</w:t>
      </w:r>
      <w:r>
        <w:rPr>
          <w:b/>
        </w:rPr>
        <w:t>12种文件格式</w:t>
      </w:r>
      <w:r>
        <w:t>解析，并集成OCR识别能力，可处理扫描件和图片。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格式</w:t>
            </w:r>
          </w:p>
        </w:tc>
        <w:tc>
          <w:tcPr>
            <w:tcW w:type="dxa" w:w="2268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解析引擎</w:t>
            </w:r>
          </w:p>
        </w:tc>
        <w:tc>
          <w:tcPr>
            <w:tcW w:type="dxa" w:w="2835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能力</w:t>
            </w:r>
          </w:p>
        </w:tc>
      </w:tr>
      <w:tr>
        <w:tc>
          <w:tcPr>
            <w:tcW w:type="dxa" w:w="1701"/>
            <w:shd w:fill="F0F4FF" w:val="clear"/>
          </w:tcPr>
          <w:p>
            <w:r>
              <w:rPr>
                <w:sz w:val="20"/>
              </w:rPr>
              <w:t>PDF</w:t>
            </w:r>
          </w:p>
        </w:tc>
        <w:tc>
          <w:tcPr>
            <w:tcW w:type="dxa" w:w="2268"/>
            <w:shd w:fill="F0F4FF" w:val="clear"/>
          </w:tcPr>
          <w:p>
            <w:r>
              <w:rPr>
                <w:sz w:val="20"/>
              </w:rPr>
              <w:t>PyMuPDF</w:t>
            </w:r>
          </w:p>
        </w:tc>
        <w:tc>
          <w:tcPr>
            <w:tcW w:type="dxa" w:w="2835"/>
            <w:shd w:fill="F0F4FF" w:val="clear"/>
          </w:tcPr>
          <w:p>
            <w:r>
              <w:rPr>
                <w:sz w:val="20"/>
              </w:rPr>
              <w:t>文本提取+OCR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Word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python-docx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全文解析</w:t>
            </w:r>
          </w:p>
        </w:tc>
      </w:tr>
      <w:tr>
        <w:tc>
          <w:tcPr>
            <w:tcW w:type="dxa" w:w="1701"/>
            <w:shd w:fill="F0F4FF" w:val="clear"/>
          </w:tcPr>
          <w:p>
            <w:r>
              <w:rPr>
                <w:sz w:val="20"/>
              </w:rPr>
              <w:t>Excel</w:t>
            </w:r>
          </w:p>
        </w:tc>
        <w:tc>
          <w:tcPr>
            <w:tcW w:type="dxa" w:w="2268"/>
            <w:shd w:fill="F0F4FF" w:val="clear"/>
          </w:tcPr>
          <w:p>
            <w:r>
              <w:rPr>
                <w:sz w:val="20"/>
              </w:rPr>
              <w:t>openpyxl</w:t>
            </w:r>
          </w:p>
        </w:tc>
        <w:tc>
          <w:tcPr>
            <w:tcW w:type="dxa" w:w="2835"/>
            <w:shd w:fill="F0F4FF" w:val="clear"/>
          </w:tcPr>
          <w:p>
            <w:r>
              <w:rPr>
                <w:sz w:val="20"/>
              </w:rPr>
              <w:t>表格数据提取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PowerPoint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python-pptx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幻灯片内容</w:t>
            </w:r>
          </w:p>
        </w:tc>
      </w:tr>
      <w:tr>
        <w:tc>
          <w:tcPr>
            <w:tcW w:type="dxa" w:w="1701"/>
            <w:shd w:fill="F0F4FF" w:val="clear"/>
          </w:tcPr>
          <w:p>
            <w:r>
              <w:rPr>
                <w:sz w:val="20"/>
              </w:rPr>
              <w:t>图片</w:t>
            </w:r>
          </w:p>
        </w:tc>
        <w:tc>
          <w:tcPr>
            <w:tcW w:type="dxa" w:w="2268"/>
            <w:shd w:fill="F0F4FF" w:val="clear"/>
          </w:tcPr>
          <w:p>
            <w:r>
              <w:rPr>
                <w:sz w:val="20"/>
              </w:rPr>
              <w:t>Tesseract OCR</w:t>
            </w:r>
          </w:p>
        </w:tc>
        <w:tc>
          <w:tcPr>
            <w:tcW w:type="dxa" w:w="2835"/>
            <w:shd w:fill="F0F4FF" w:val="clear"/>
          </w:tcPr>
          <w:p>
            <w:r>
              <w:rPr>
                <w:sz w:val="20"/>
              </w:rPr>
              <w:t>中英文识别(chi_sim+eng)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其他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内置解析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CSV/TXT/RTF/HTML/Markdown/XMind</w:t>
            </w:r>
          </w:p>
        </w:tc>
      </w:tr>
    </w:tbl>
    <w:p/>
    <w:p>
      <w:r>
        <w:rPr>
          <w:b/>
        </w:rPr>
        <w:t>智能分类与要素提取:</w:t>
      </w:r>
    </w:p>
    <w:p>
      <w:r>
        <w:t>• 合同自动分类: 6大类17子类，关键词+正则匹配，置信度评分</w:t>
      </w:r>
    </w:p>
    <w:p>
      <w:r>
        <w:t>• 关键要素提取: 13项核心字段，正则+LLM双模式</w:t>
      </w:r>
    </w:p>
    <w:p>
      <w:r>
        <w:t>• 条款分割引擎: 第X条/数字序号/段落三级分割，逐条风险分析</w:t>
      </w:r>
    </w:p>
    <w:p>
      <w:r>
        <w:br w:type="page"/>
      </w:r>
    </w:p>
    <w:p>
      <w:pPr>
        <w:pStyle w:val="Heading2"/>
      </w:pPr>
      <w:r>
        <w:rPr>
          <w:color w:val="1A56DB"/>
        </w:rPr>
        <w:t>2.4 知识库与自学习</w:t>
      </w:r>
    </w:p>
    <w:p>
      <w:r>
        <w:rPr>
          <w:b/>
        </w:rPr>
        <w:t>企业知识沉淀:</w:t>
      </w:r>
    </w:p>
    <w:p>
      <w:r>
        <w:t>• 审查案例自动归档，形成企业审查知识库</w:t>
      </w:r>
    </w:p>
    <w:p>
      <w:r>
        <w:t>• 风险模式自动提取，高频风险规则化</w:t>
      </w:r>
    </w:p>
    <w:p>
      <w:r>
        <w:t>• 人工反馈闭环，持续优化审查策略</w:t>
      </w:r>
    </w:p>
    <w:p/>
    <w:p>
      <w:r>
        <w:rPr>
          <w:b/>
        </w:rPr>
        <w:t>FP-Growth关联规则挖掘:</w:t>
      </w:r>
    </w:p>
    <w:p>
      <w:r>
        <w:t>• 基于历史审查数据，发现风险项之间的隐藏关联</w:t>
      </w:r>
    </w:p>
    <w:p>
      <w:r>
        <w:t>• 自动生成关联规则，辅助风险预判</w:t>
      </w:r>
    </w:p>
    <w:p/>
    <w:p>
      <w:r>
        <w:rPr>
          <w:b/>
        </w:rPr>
        <w:t>FAISS向量索引:</w:t>
      </w:r>
    </w:p>
    <w:p>
      <w:r>
        <w:t>• 合同文本向量化，支持语义相似度检索</w:t>
      </w:r>
    </w:p>
    <w:p>
      <w:r>
        <w:t>• 相似案例智能匹配，辅助审查决策</w:t>
      </w:r>
    </w:p>
    <w:p>
      <w:r>
        <w:br w:type="page"/>
      </w:r>
    </w:p>
    <w:p>
      <w:pPr>
        <w:pStyle w:val="Heading2"/>
      </w:pPr>
      <w:r>
        <w:rPr>
          <w:color w:val="1A56DB"/>
        </w:rPr>
        <w:t>2.5 合规追踪与报告</w:t>
      </w:r>
    </w:p>
    <w:p>
      <w:r>
        <w:rPr>
          <w:b/>
        </w:rPr>
        <w:t>合规检查清单:</w:t>
      </w:r>
    </w:p>
    <w:p>
      <w:r>
        <w:t>• 6类合同合规检查模板（采购/销售/外协/保密/服务/租赁）</w:t>
      </w:r>
    </w:p>
    <w:p>
      <w:r>
        <w:t>• 合规率自动评估，合规缺口识别</w:t>
      </w:r>
    </w:p>
    <w:p>
      <w:r>
        <w:t>• 整改计划自动生成</w:t>
      </w:r>
    </w:p>
    <w:p/>
    <w:p>
      <w:r>
        <w:rPr>
          <w:b/>
        </w:rPr>
        <w:t>报告导出:</w:t>
      </w:r>
    </w:p>
    <w:p>
      <w:r>
        <w:t>• Word格式: 完整审查报告，含表格和格式化</w:t>
      </w:r>
    </w:p>
    <w:p>
      <w:r>
        <w:t>• PDF格式: 正式报告，适合归档和打印</w:t>
      </w:r>
    </w:p>
    <w:p>
      <w:r>
        <w:t>• 降级方案: 纯文本报告（无依赖环境）</w:t>
      </w:r>
    </w:p>
    <w:p>
      <w:r>
        <w:br w:type="page"/>
      </w:r>
    </w:p>
    <w:p>
      <w:pPr>
        <w:pStyle w:val="Heading1"/>
      </w:pPr>
      <w:r>
        <w:rPr>
          <w:color w:val="1A56DB"/>
        </w:rPr>
        <w:t>三、技术架构</w:t>
      </w:r>
    </w:p>
    <w:p>
      <w:r>
        <w:rPr>
          <w:rFonts w:ascii="Consolas" w:hAnsi="Consolas"/>
          <w:sz w:val="18"/>
        </w:rPr>
        <w:t>系统采用前后端分离的微服务架构，分为以下五层:</w:t>
        <w:br/>
        <w:br/>
        <w:t>┌─────────────────────────────────────────────┐</w:t>
        <w:br/>
        <w:t>│           前端层 (Frontend)                    │</w:t>
        <w:br/>
        <w:t>│     Vue 3 + TypeScript + Element Plus         │</w:t>
        <w:br/>
        <w:t>└─────────────────────────────────────────────┘</w:t>
        <w:br/>
        <w:t xml:space="preserve">                    │</w:t>
        <w:br/>
        <w:t xml:space="preserve">                    ▼</w:t>
        <w:br/>
        <w:t>┌─────────────────────────────────────────────┐</w:t>
        <w:br/>
        <w:t>│           API网关层 (Gateway)                  │</w:t>
        <w:br/>
        <w:t>│        Nginx 反向代理 + 负载均衡               │</w:t>
        <w:br/>
        <w:t>└─────────────────────────────────────────────┘</w:t>
        <w:br/>
        <w:t xml:space="preserve">                    │</w:t>
        <w:br/>
        <w:t xml:space="preserve">                    ▼</w:t>
        <w:br/>
        <w:t>┌─────────────────────────────────────────────┐</w:t>
        <w:br/>
        <w:t>│           后端服务层 (Backend)                 │</w:t>
        <w:br/>
        <w:t>│    FastAPI + Python 3.14 + SQLAlchemy 2.0     │</w:t>
        <w:br/>
        <w:t>│    ┌─────────────────────────────────────┐    │</w:t>
        <w:br/>
        <w:t>│    │  API模块: auth/users/contracts/     │    │</w:t>
        <w:br/>
        <w:t>│    │          reviews/risks/workflows/    │    │</w:t>
        <w:br/>
        <w:t>│    │          agent (AI智能体核心)        │    │</w:t>
        <w:br/>
        <w:t>│    └─────────────────────────────────────┘    │</w:t>
        <w:br/>
        <w:t>└─────────────────────────────────────────────┘</w:t>
        <w:br/>
        <w:t xml:space="preserve">                    │</w:t>
        <w:br/>
        <w:t xml:space="preserve">                    ▼</w:t>
        <w:br/>
        <w:t>┌─────────────────────────────────────────────┐</w:t>
        <w:br/>
        <w:t>│           AI服务层 (AI Services)               │</w:t>
        <w:br/>
        <w:t>│    ┌─────────────────────────────────────┐    │</w:t>
        <w:br/>
        <w:t>│    │  • multi_agent.py    5-Agent引擎    │    │</w:t>
        <w:br/>
        <w:t>│    │  • risk_rules_engine 风控规则引擎   │    │</w:t>
        <w:br/>
        <w:t>│    │  • ai_review.py      AI审查服务     │    │</w:t>
        <w:br/>
        <w:t>│    │  • vector_index.py   FAISS索引      │    │</w:t>
        <w:br/>
        <w:t>│    │  • self_learning.py  自学习循环     │    │</w:t>
        <w:br/>
        <w:t>│    └─────────────────────────────────────┘    │</w:t>
        <w:br/>
        <w:t>└─────────────────────────────────────────────┘</w:t>
        <w:br/>
        <w:t xml:space="preserve">                    │</w:t>
        <w:br/>
        <w:t xml:space="preserve">                    ▼</w:t>
        <w:br/>
        <w:t>┌─────────────────────────────────────────────┐</w:t>
        <w:br/>
        <w:t>│           数据层 (Data Layer)                  │</w:t>
        <w:br/>
        <w:t>│    PostgreSQL 15 + Redis 7 + FAISS + 文件系统 │</w:t>
        <w:br/>
        <w:t>└─────────────────────────────────────────────┘</w:t>
      </w:r>
    </w:p>
    <w:p>
      <w:r>
        <w:br w:type="page"/>
      </w:r>
    </w:p>
    <w:p>
      <w:pPr>
        <w:pStyle w:val="Heading1"/>
      </w:pPr>
      <w:r>
        <w:rPr>
          <w:color w:val="1A56DB"/>
        </w:rPr>
        <w:t>四、技术栈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层级</w:t>
            </w:r>
          </w:p>
        </w:tc>
        <w:tc>
          <w:tcPr>
            <w:tcW w:type="dxa" w:w="2835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技术</w:t>
            </w:r>
          </w:p>
        </w:tc>
        <w:tc>
          <w:tcPr>
            <w:tcW w:type="dxa" w:w="3402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01"/>
            <w:shd w:fill="F0F4FF" w:val="clear"/>
          </w:tcPr>
          <w:p>
            <w:r>
              <w:rPr>
                <w:sz w:val="20"/>
              </w:rPr>
              <w:t>前端</w:t>
            </w:r>
          </w:p>
        </w:tc>
        <w:tc>
          <w:tcPr>
            <w:tcW w:type="dxa" w:w="2835"/>
            <w:shd w:fill="F0F4FF" w:val="clear"/>
          </w:tcPr>
          <w:p>
            <w:r>
              <w:rPr>
                <w:sz w:val="20"/>
              </w:rPr>
              <w:t>Vue 3</w:t>
            </w:r>
          </w:p>
        </w:tc>
        <w:tc>
          <w:tcPr>
            <w:tcW w:type="dxa" w:w="3402"/>
            <w:shd w:fill="F0F4FF" w:val="clear"/>
          </w:tcPr>
          <w:p>
            <w:r>
              <w:rPr>
                <w:sz w:val="20"/>
              </w:rPr>
              <w:t>响应式UI框架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前端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TypeScript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类型安全</w:t>
            </w:r>
          </w:p>
        </w:tc>
      </w:tr>
      <w:tr>
        <w:tc>
          <w:tcPr>
            <w:tcW w:type="dxa" w:w="1701"/>
            <w:shd w:fill="F0F4FF" w:val="clear"/>
          </w:tcPr>
          <w:p>
            <w:r>
              <w:rPr>
                <w:sz w:val="20"/>
              </w:rPr>
              <w:t>前端</w:t>
            </w:r>
          </w:p>
        </w:tc>
        <w:tc>
          <w:tcPr>
            <w:tcW w:type="dxa" w:w="2835"/>
            <w:shd w:fill="F0F4FF" w:val="clear"/>
          </w:tcPr>
          <w:p>
            <w:r>
              <w:rPr>
                <w:sz w:val="20"/>
              </w:rPr>
              <w:t>Element Plus</w:t>
            </w:r>
          </w:p>
        </w:tc>
        <w:tc>
          <w:tcPr>
            <w:tcW w:type="dxa" w:w="3402"/>
            <w:shd w:fill="F0F4FF" w:val="clear"/>
          </w:tcPr>
          <w:p>
            <w:r>
              <w:rPr>
                <w:sz w:val="20"/>
              </w:rPr>
              <w:t>企业级组件库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前端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Vite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构建工具</w:t>
            </w:r>
          </w:p>
        </w:tc>
      </w:tr>
      <w:tr>
        <w:tc>
          <w:tcPr>
            <w:tcW w:type="dxa" w:w="1701"/>
            <w:shd w:fill="F0F4FF" w:val="clear"/>
          </w:tcPr>
          <w:p>
            <w:r>
              <w:rPr>
                <w:sz w:val="20"/>
              </w:rPr>
              <w:t>前端</w:t>
            </w:r>
          </w:p>
        </w:tc>
        <w:tc>
          <w:tcPr>
            <w:tcW w:type="dxa" w:w="2835"/>
            <w:shd w:fill="F0F4FF" w:val="clear"/>
          </w:tcPr>
          <w:p>
            <w:r>
              <w:rPr>
                <w:sz w:val="20"/>
              </w:rPr>
              <w:t>Pinia</w:t>
            </w:r>
          </w:p>
        </w:tc>
        <w:tc>
          <w:tcPr>
            <w:tcW w:type="dxa" w:w="3402"/>
            <w:shd w:fill="F0F4FF" w:val="clear"/>
          </w:tcPr>
          <w:p>
            <w:r>
              <w:rPr>
                <w:sz w:val="20"/>
              </w:rPr>
              <w:t>状态管理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前端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ECharts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数据可视化</w:t>
            </w:r>
          </w:p>
        </w:tc>
      </w:tr>
      <w:tr>
        <w:tc>
          <w:tcPr>
            <w:tcW w:type="dxa" w:w="1701"/>
            <w:shd w:fill="F0F4FF" w:val="clear"/>
          </w:tcPr>
          <w:p>
            <w:r>
              <w:rPr>
                <w:sz w:val="20"/>
              </w:rPr>
              <w:t>后端</w:t>
            </w:r>
          </w:p>
        </w:tc>
        <w:tc>
          <w:tcPr>
            <w:tcW w:type="dxa" w:w="2835"/>
            <w:shd w:fill="F0F4FF" w:val="clear"/>
          </w:tcPr>
          <w:p>
            <w:r>
              <w:rPr>
                <w:sz w:val="20"/>
              </w:rPr>
              <w:t>FastAPI</w:t>
            </w:r>
          </w:p>
        </w:tc>
        <w:tc>
          <w:tcPr>
            <w:tcW w:type="dxa" w:w="3402"/>
            <w:shd w:fill="F0F4FF" w:val="clear"/>
          </w:tcPr>
          <w:p>
            <w:r>
              <w:rPr>
                <w:sz w:val="20"/>
              </w:rPr>
              <w:t>高性能异步框架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后端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Python 3.14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最新语言特性</w:t>
            </w:r>
          </w:p>
        </w:tc>
      </w:tr>
      <w:tr>
        <w:tc>
          <w:tcPr>
            <w:tcW w:type="dxa" w:w="1701"/>
            <w:shd w:fill="F0F4FF" w:val="clear"/>
          </w:tcPr>
          <w:p>
            <w:r>
              <w:rPr>
                <w:sz w:val="20"/>
              </w:rPr>
              <w:t>后端</w:t>
            </w:r>
          </w:p>
        </w:tc>
        <w:tc>
          <w:tcPr>
            <w:tcW w:type="dxa" w:w="2835"/>
            <w:shd w:fill="F0F4FF" w:val="clear"/>
          </w:tcPr>
          <w:p>
            <w:r>
              <w:rPr>
                <w:sz w:val="20"/>
              </w:rPr>
              <w:t>SQLAlchemy 2.0</w:t>
            </w:r>
          </w:p>
        </w:tc>
        <w:tc>
          <w:tcPr>
            <w:tcW w:type="dxa" w:w="3402"/>
            <w:shd w:fill="F0F4FF" w:val="clear"/>
          </w:tcPr>
          <w:p>
            <w:r>
              <w:rPr>
                <w:sz w:val="20"/>
              </w:rPr>
              <w:t>异步ORM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后端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Pydantic 2.10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数据验证</w:t>
            </w:r>
          </w:p>
        </w:tc>
      </w:tr>
      <w:tr>
        <w:tc>
          <w:tcPr>
            <w:tcW w:type="dxa" w:w="1701"/>
            <w:shd w:fill="F0F4FF" w:val="clear"/>
          </w:tcPr>
          <w:p>
            <w:r>
              <w:rPr>
                <w:sz w:val="20"/>
              </w:rPr>
              <w:t>后端</w:t>
            </w:r>
          </w:p>
        </w:tc>
        <w:tc>
          <w:tcPr>
            <w:tcW w:type="dxa" w:w="2835"/>
            <w:shd w:fill="F0F4FF" w:val="clear"/>
          </w:tcPr>
          <w:p>
            <w:r>
              <w:rPr>
                <w:sz w:val="20"/>
              </w:rPr>
              <w:t>JWT + bcrypt</w:t>
            </w:r>
          </w:p>
        </w:tc>
        <w:tc>
          <w:tcPr>
            <w:tcW w:type="dxa" w:w="3402"/>
            <w:shd w:fill="F0F4FF" w:val="clear"/>
          </w:tcPr>
          <w:p>
            <w:r>
              <w:rPr>
                <w:sz w:val="20"/>
              </w:rPr>
              <w:t>安全认证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数据库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PostgreSQL 15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主数据库</w:t>
            </w:r>
          </w:p>
        </w:tc>
      </w:tr>
      <w:tr>
        <w:tc>
          <w:tcPr>
            <w:tcW w:type="dxa" w:w="1701"/>
            <w:shd w:fill="F0F4FF" w:val="clear"/>
          </w:tcPr>
          <w:p>
            <w:r>
              <w:rPr>
                <w:sz w:val="20"/>
              </w:rPr>
              <w:t>数据库</w:t>
            </w:r>
          </w:p>
        </w:tc>
        <w:tc>
          <w:tcPr>
            <w:tcW w:type="dxa" w:w="2835"/>
            <w:shd w:fill="F0F4FF" w:val="clear"/>
          </w:tcPr>
          <w:p>
            <w:r>
              <w:rPr>
                <w:sz w:val="20"/>
              </w:rPr>
              <w:t>Redis 7</w:t>
            </w:r>
          </w:p>
        </w:tc>
        <w:tc>
          <w:tcPr>
            <w:tcW w:type="dxa" w:w="3402"/>
            <w:shd w:fill="F0F4FF" w:val="clear"/>
          </w:tcPr>
          <w:p>
            <w:r>
              <w:rPr>
                <w:sz w:val="20"/>
              </w:rPr>
              <w:t>缓存+会话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数据库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FAISS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向量检索</w:t>
            </w:r>
          </w:p>
        </w:tc>
      </w:tr>
      <w:tr>
        <w:tc>
          <w:tcPr>
            <w:tcW w:type="dxa" w:w="1701"/>
            <w:shd w:fill="F0F4FF" w:val="clear"/>
          </w:tcPr>
          <w:p>
            <w:r>
              <w:rPr>
                <w:sz w:val="20"/>
              </w:rPr>
              <w:t>AI</w:t>
            </w:r>
          </w:p>
        </w:tc>
        <w:tc>
          <w:tcPr>
            <w:tcW w:type="dxa" w:w="2835"/>
            <w:shd w:fill="F0F4FF" w:val="clear"/>
          </w:tcPr>
          <w:p>
            <w:r>
              <w:rPr>
                <w:sz w:val="20"/>
              </w:rPr>
              <w:t>OpenAI API</w:t>
            </w:r>
          </w:p>
        </w:tc>
        <w:tc>
          <w:tcPr>
            <w:tcW w:type="dxa" w:w="3402"/>
            <w:shd w:fill="F0F4FF" w:val="clear"/>
          </w:tcPr>
          <w:p>
            <w:r>
              <w:rPr>
                <w:sz w:val="20"/>
              </w:rPr>
              <w:t>GPT-4兼容接口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AI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sentence-transformers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文本向量化</w:t>
            </w:r>
          </w:p>
        </w:tc>
      </w:tr>
      <w:tr>
        <w:tc>
          <w:tcPr>
            <w:tcW w:type="dxa" w:w="1701"/>
            <w:shd w:fill="F0F4FF" w:val="clear"/>
          </w:tcPr>
          <w:p>
            <w:r>
              <w:rPr>
                <w:sz w:val="20"/>
              </w:rPr>
              <w:t>AI</w:t>
            </w:r>
          </w:p>
        </w:tc>
        <w:tc>
          <w:tcPr>
            <w:tcW w:type="dxa" w:w="2835"/>
            <w:shd w:fill="F0F4FF" w:val="clear"/>
          </w:tcPr>
          <w:p>
            <w:r>
              <w:rPr>
                <w:sz w:val="20"/>
              </w:rPr>
              <w:t>Tesseract OCR</w:t>
            </w:r>
          </w:p>
        </w:tc>
        <w:tc>
          <w:tcPr>
            <w:tcW w:type="dxa" w:w="3402"/>
            <w:shd w:fill="F0F4FF" w:val="clear"/>
          </w:tcPr>
          <w:p>
            <w:r>
              <w:rPr>
                <w:sz w:val="20"/>
              </w:rPr>
              <w:t>图片文字识别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部署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Docker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容器化部署</w:t>
            </w:r>
          </w:p>
        </w:tc>
      </w:tr>
      <w:tr>
        <w:tc>
          <w:tcPr>
            <w:tcW w:type="dxa" w:w="1701"/>
            <w:shd w:fill="F0F4FF" w:val="clear"/>
          </w:tcPr>
          <w:p>
            <w:r>
              <w:rPr>
                <w:sz w:val="20"/>
              </w:rPr>
              <w:t>部署</w:t>
            </w:r>
          </w:p>
        </w:tc>
        <w:tc>
          <w:tcPr>
            <w:tcW w:type="dxa" w:w="2835"/>
            <w:shd w:fill="F0F4FF" w:val="clear"/>
          </w:tcPr>
          <w:p>
            <w:r>
              <w:rPr>
                <w:sz w:val="20"/>
              </w:rPr>
              <w:t>Nginx</w:t>
            </w:r>
          </w:p>
        </w:tc>
        <w:tc>
          <w:tcPr>
            <w:tcW w:type="dxa" w:w="3402"/>
            <w:shd w:fill="F0F4FF" w:val="clear"/>
          </w:tcPr>
          <w:p>
            <w:r>
              <w:rPr>
                <w:sz w:val="20"/>
              </w:rPr>
              <w:t>反向代理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部署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Alembic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数据库迁移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56DB"/>
        </w:rPr>
        <w:t>五、用户角色</w:t>
      </w:r>
    </w:p>
    <w:p>
      <w:r>
        <w:rPr>
          <w:sz w:val="22"/>
        </w:rPr>
        <w:t>系统支持</w:t>
      </w:r>
      <w:r>
        <w:rPr>
          <w:b/>
        </w:rPr>
        <w:t>7种用户角色</w:t>
      </w:r>
      <w:r>
        <w:t>，实现细粒度的权限控制。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5669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权限说明</w:t>
            </w:r>
          </w:p>
        </w:tc>
      </w:tr>
      <w:tr>
        <w:tc>
          <w:tcPr>
            <w:tcW w:type="dxa" w:w="2268"/>
            <w:shd w:fill="F0F4FF" w:val="clear"/>
          </w:tcPr>
          <w:p>
            <w:r>
              <w:rPr>
                <w:sz w:val="20"/>
              </w:rPr>
              <w:t>超级管理员</w:t>
            </w:r>
          </w:p>
        </w:tc>
        <w:tc>
          <w:tcPr>
            <w:tcW w:type="dxa" w:w="5669"/>
            <w:shd w:fill="F0F4FF" w:val="clear"/>
          </w:tcPr>
          <w:p>
            <w:r>
              <w:rPr>
                <w:sz w:val="20"/>
              </w:rPr>
              <w:t>系统全部权限，包括系统配置和数据管理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管理员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用户管理、系统配置、数据备份</w:t>
            </w:r>
          </w:p>
        </w:tc>
      </w:tr>
      <w:tr>
        <w:tc>
          <w:tcPr>
            <w:tcW w:type="dxa" w:w="2268"/>
            <w:shd w:fill="F0F4FF" w:val="clear"/>
          </w:tcPr>
          <w:p>
            <w:r>
              <w:rPr>
                <w:sz w:val="20"/>
              </w:rPr>
              <w:t>法务经理</w:t>
            </w:r>
          </w:p>
        </w:tc>
        <w:tc>
          <w:tcPr>
            <w:tcW w:type="dxa" w:w="5669"/>
            <w:shd w:fill="F0F4FF" w:val="clear"/>
          </w:tcPr>
          <w:p>
            <w:r>
              <w:rPr>
                <w:sz w:val="20"/>
              </w:rPr>
              <w:t>审查任务分配、结果审核、规则管理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法务专员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执行审查、提交意见、案例归档</w:t>
            </w:r>
          </w:p>
        </w:tc>
      </w:tr>
      <w:tr>
        <w:tc>
          <w:tcPr>
            <w:tcW w:type="dxa" w:w="2268"/>
            <w:shd w:fill="F0F4FF" w:val="clear"/>
          </w:tcPr>
          <w:p>
            <w:r>
              <w:rPr>
                <w:sz w:val="20"/>
              </w:rPr>
              <w:t>业务经理</w:t>
            </w:r>
          </w:p>
        </w:tc>
        <w:tc>
          <w:tcPr>
            <w:tcW w:type="dxa" w:w="5669"/>
            <w:shd w:fill="F0F4FF" w:val="clear"/>
          </w:tcPr>
          <w:p>
            <w:r>
              <w:rPr>
                <w:sz w:val="20"/>
              </w:rPr>
              <w:t>合同创建、流程发起、进度跟踪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业务专员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合同录入、进度查看、资料上传</w:t>
            </w:r>
          </w:p>
        </w:tc>
      </w:tr>
      <w:tr>
        <w:tc>
          <w:tcPr>
            <w:tcW w:type="dxa" w:w="2268"/>
            <w:shd w:fill="F0F4FF" w:val="clear"/>
          </w:tcPr>
          <w:p>
            <w:r>
              <w:rPr>
                <w:sz w:val="20"/>
              </w:rPr>
              <w:t>高管层</w:t>
            </w:r>
          </w:p>
        </w:tc>
        <w:tc>
          <w:tcPr>
            <w:tcW w:type="dxa" w:w="5669"/>
            <w:shd w:fill="F0F4FF" w:val="clear"/>
          </w:tcPr>
          <w:p>
            <w:r>
              <w:rPr>
                <w:sz w:val="20"/>
              </w:rPr>
              <w:t>数据看板、决策支持、报表查看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56DB"/>
        </w:rPr>
        <w:t>六、部署方式</w:t>
      </w:r>
    </w:p>
    <w:p>
      <w:pPr>
        <w:pStyle w:val="Heading2"/>
      </w:pPr>
      <w:r>
        <w:rPr>
          <w:color w:val="1A56DB"/>
        </w:rPr>
        <w:t>6.1 开发环境</w:t>
      </w:r>
    </w:p>
    <w:p>
      <w:r>
        <w:rPr>
          <w:rFonts w:ascii="Consolas" w:hAnsi="Consolas"/>
          <w:sz w:val="20"/>
        </w:rPr>
        <w:t># 后端启动</w:t>
        <w:br/>
        <w:t>cd backend</w:t>
        <w:br/>
        <w:t>pip install -r requirements.txt</w:t>
        <w:br/>
        <w:t>python -m app.main</w:t>
        <w:br/>
        <w:br/>
        <w:t># 前端启动</w:t>
        <w:br/>
        <w:t>cd frontend</w:t>
        <w:br/>
        <w:t>npm install</w:t>
        <w:br/>
        <w:t>npm run dev</w:t>
      </w:r>
    </w:p>
    <w:p>
      <w:pPr>
        <w:pStyle w:val="Heading2"/>
      </w:pPr>
      <w:r>
        <w:rPr>
          <w:color w:val="1A56DB"/>
        </w:rPr>
        <w:t>6.2 生产环境 (Docker Compose)</w:t>
      </w:r>
    </w:p>
    <w:p>
      <w:r>
        <w:rPr>
          <w:rFonts w:ascii="Consolas" w:hAnsi="Consolas"/>
          <w:sz w:val="20"/>
        </w:rPr>
        <w:t># 一键部署</w:t>
        <w:br/>
        <w:t>docker-compose -f docker-compose.server.yml up -d</w:t>
        <w:br/>
        <w:br/>
        <w:t># 服务地址</w:t>
        <w:br/>
        <w:t>前端: http://localhost:3007</w:t>
        <w:br/>
        <w:t>后端API: http://localhost:8000</w:t>
        <w:br/>
        <w:t>API文档: http://localhost:8000/docs</w:t>
      </w:r>
    </w:p>
    <w:p>
      <w:r>
        <w:br w:type="page"/>
      </w:r>
    </w:p>
    <w:p>
      <w:pPr>
        <w:pStyle w:val="Heading1"/>
      </w:pPr>
      <w:r>
        <w:rPr>
          <w:color w:val="1A56DB"/>
        </w:rPr>
        <w:t>七、核心优势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优势</w:t>
            </w:r>
          </w:p>
        </w:tc>
        <w:tc>
          <w:tcPr>
            <w:tcW w:type="dxa" w:w="5669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268"/>
            <w:shd w:fill="F0F4FF" w:val="clear"/>
          </w:tcPr>
          <w:p>
            <w:r>
              <w:rPr>
                <w:sz w:val="20"/>
              </w:rPr>
              <w:t>专业垂直</w:t>
            </w:r>
          </w:p>
        </w:tc>
        <w:tc>
          <w:tcPr>
            <w:tcW w:type="dxa" w:w="5669"/>
            <w:shd w:fill="F0F4FF" w:val="clear"/>
          </w:tcPr>
          <w:p>
            <w:r>
              <w:rPr>
                <w:sz w:val="20"/>
              </w:rPr>
              <w:t>深度适配制造业合同场景，23条行业专属风控规则，14种毒丸条款精准识别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智能协作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5-Agent五维加权审查，多步推理链自主决策，知识图谱辅助判断</w:t>
            </w:r>
          </w:p>
        </w:tc>
      </w:tr>
      <w:tr>
        <w:tc>
          <w:tcPr>
            <w:tcW w:type="dxa" w:w="2268"/>
            <w:shd w:fill="F0F4FF" w:val="clear"/>
          </w:tcPr>
          <w:p>
            <w:r>
              <w:rPr>
                <w:sz w:val="20"/>
              </w:rPr>
              <w:t>持续进化</w:t>
            </w:r>
          </w:p>
        </w:tc>
        <w:tc>
          <w:tcPr>
            <w:tcW w:type="dxa" w:w="5669"/>
            <w:shd w:fill="F0F4FF" w:val="clear"/>
          </w:tcPr>
          <w:p>
            <w:r>
              <w:rPr>
                <w:sz w:val="20"/>
              </w:rPr>
              <w:t>人工反馈闭环学习，FP-Growth关联规则挖掘，风险模式自动沉淀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企业级可靠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7角色细粒度权限，JWT安全认证，审计日志追踪，Docker容器化部署</w:t>
            </w:r>
          </w:p>
        </w:tc>
      </w:tr>
      <w:tr>
        <w:tc>
          <w:tcPr>
            <w:tcW w:type="dxa" w:w="2268"/>
            <w:shd w:fill="F0F4FF" w:val="clear"/>
          </w:tcPr>
          <w:p>
            <w:r>
              <w:rPr>
                <w:sz w:val="20"/>
              </w:rPr>
              <w:t>降级容灾</w:t>
            </w:r>
          </w:p>
        </w:tc>
        <w:tc>
          <w:tcPr>
            <w:tcW w:type="dxa" w:w="5669"/>
            <w:shd w:fill="F0F4FF" w:val="clear"/>
          </w:tcPr>
          <w:p>
            <w:r>
              <w:rPr>
                <w:sz w:val="20"/>
              </w:rPr>
              <w:t>无AI环境自动降级为规则审查，确保系统可用性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56DB"/>
        </w:rPr>
        <w:t>八、代码规模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1701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文件数</w:t>
            </w:r>
          </w:p>
        </w:tc>
        <w:tc>
          <w:tcPr>
            <w:tcW w:type="dxa" w:w="1701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代码行数</w:t>
            </w:r>
          </w:p>
        </w:tc>
      </w:tr>
      <w:tr>
        <w:tc>
          <w:tcPr>
            <w:tcW w:type="dxa" w:w="2268"/>
            <w:shd w:fill="F0F4FF" w:val="clear"/>
          </w:tcPr>
          <w:p>
            <w:r>
              <w:rPr>
                <w:sz w:val="20"/>
              </w:rPr>
              <w:t>后端服务</w:t>
            </w:r>
          </w:p>
        </w:tc>
        <w:tc>
          <w:tcPr>
            <w:tcW w:type="dxa" w:w="1701"/>
            <w:shd w:fill="F0F4FF" w:val="clear"/>
          </w:tcPr>
          <w:p>
            <w:r>
              <w:rPr>
                <w:sz w:val="20"/>
              </w:rPr>
              <w:t>15+</w:t>
            </w:r>
          </w:p>
        </w:tc>
        <w:tc>
          <w:tcPr>
            <w:tcW w:type="dxa" w:w="1701"/>
            <w:shd w:fill="F0F4FF" w:val="clear"/>
          </w:tcPr>
          <w:p>
            <w:r>
              <w:rPr>
                <w:sz w:val="20"/>
              </w:rPr>
              <w:t>8000+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前端页面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20+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6000+</w:t>
            </w:r>
          </w:p>
        </w:tc>
      </w:tr>
      <w:tr>
        <w:tc>
          <w:tcPr>
            <w:tcW w:type="dxa" w:w="2268"/>
            <w:shd w:fill="F0F4FF" w:val="clear"/>
          </w:tcPr>
          <w:p>
            <w:r>
              <w:rPr>
                <w:sz w:val="20"/>
              </w:rPr>
              <w:t>API接口</w:t>
            </w:r>
          </w:p>
        </w:tc>
        <w:tc>
          <w:tcPr>
            <w:tcW w:type="dxa" w:w="1701"/>
            <w:shd w:fill="F0F4FF" w:val="clear"/>
          </w:tcPr>
          <w:p>
            <w:r>
              <w:rPr>
                <w:sz w:val="20"/>
              </w:rPr>
              <w:t>30+</w:t>
            </w:r>
          </w:p>
        </w:tc>
        <w:tc>
          <w:tcPr>
            <w:tcW w:type="dxa" w:w="1701"/>
            <w:shd w:fill="F0F4FF" w:val="clear"/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风控规则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37条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2268"/>
            <w:shd w:fill="F0F4FF" w:val="clear"/>
          </w:tcPr>
          <w:p>
            <w:r>
              <w:rPr>
                <w:sz w:val="20"/>
              </w:rPr>
              <w:t>总计</w:t>
            </w:r>
          </w:p>
        </w:tc>
        <w:tc>
          <w:tcPr>
            <w:tcW w:type="dxa" w:w="1701"/>
            <w:shd w:fill="F0F4FF" w:val="clear"/>
          </w:tcPr>
          <w:p>
            <w:r>
              <w:rPr>
                <w:sz w:val="20"/>
              </w:rPr>
              <w:t>50+</w:t>
            </w:r>
          </w:p>
        </w:tc>
        <w:tc>
          <w:tcPr>
            <w:tcW w:type="dxa" w:w="1701"/>
            <w:shd w:fill="F0F4FF" w:val="clear"/>
          </w:tcPr>
          <w:p>
            <w:r>
              <w:rPr>
                <w:sz w:val="20"/>
              </w:rPr>
              <w:t>15000+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56DB"/>
        </w:rPr>
        <w:t>九、快速开始</w:t>
      </w:r>
    </w:p>
    <w:p>
      <w:r>
        <w:rPr>
          <w:b/>
          <w:sz w:val="24"/>
        </w:rPr>
        <w:t>1. 克隆代码</w:t>
      </w:r>
    </w:p>
    <w:p>
      <w:r>
        <w:rPr>
          <w:rFonts w:ascii="Consolas" w:hAnsi="Consolas"/>
          <w:sz w:val="20"/>
        </w:rPr>
        <w:t>git clone https://github.com/zshanwei2019/contract-review-system.git</w:t>
      </w:r>
    </w:p>
    <w:p/>
    <w:p>
      <w:r>
        <w:rPr>
          <w:b/>
          <w:sz w:val="24"/>
        </w:rPr>
        <w:t>2. 启动后端</w:t>
      </w:r>
    </w:p>
    <w:p>
      <w:r>
        <w:rPr>
          <w:rFonts w:ascii="Consolas" w:hAnsi="Consolas"/>
          <w:sz w:val="20"/>
        </w:rPr>
        <w:t>cd backend</w:t>
        <w:br/>
        <w:t>pip install -r requirements.txt</w:t>
        <w:br/>
        <w:t>python -m app.main</w:t>
      </w:r>
    </w:p>
    <w:p/>
    <w:p>
      <w:r>
        <w:rPr>
          <w:b/>
          <w:sz w:val="24"/>
        </w:rPr>
        <w:t>3. 启动前端</w:t>
      </w:r>
    </w:p>
    <w:p>
      <w:r>
        <w:rPr>
          <w:rFonts w:ascii="Consolas" w:hAnsi="Consolas"/>
          <w:sz w:val="20"/>
        </w:rPr>
        <w:t>cd frontend</w:t>
        <w:br/>
        <w:t>npm install</w:t>
        <w:br/>
        <w:t>npm run dev</w:t>
      </w:r>
    </w:p>
    <w:p/>
    <w:p>
      <w:r>
        <w:rPr>
          <w:b/>
          <w:sz w:val="24"/>
        </w:rPr>
        <w:t>4. 访问系统</w:t>
      </w:r>
    </w:p>
    <w:p>
      <w:r>
        <w:rPr>
          <w:rFonts w:ascii="Consolas" w:hAnsi="Consolas"/>
          <w:sz w:val="20"/>
        </w:rPr>
        <w:t>地址: http://localhost:5175</w:t>
        <w:br/>
        <w:t>账号: admin / admin123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