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eastAsia="Microsoft YaHei"/>
          <w:rFonts w:ascii="Microsoft YaHei" w:hAnsi="Microsoft YaHei"/>
          <w:b/>
          <w:color w:val="0EA5E9"/>
          <w:sz w:val="56"/>
        </w:rPr>
        <w:t>码医 MediCode</w:t>
      </w:r>
    </w:p>
    <w:p>
      <w:pPr>
        <w:spacing w:after="40"/>
        <w:jc w:val="center"/>
      </w:pPr>
      <w:r>
        <w:rPr>
          <w:rFonts w:eastAsia="Microsoft YaHei"/>
          <w:rFonts w:ascii="Microsoft YaHei" w:hAnsi="Microsoft YaHei"/>
          <w:b w:val="0"/>
          <w:color w:val="94A3B8"/>
          <w:sz w:val="26"/>
        </w:rPr>
        <w:t>AI驱动的DRG智能编码与病历质控系统</w:t>
      </w:r>
    </w:p>
    <w:p>
      <w:pPr>
        <w:spacing w:after="40"/>
        <w:jc w:val="center"/>
      </w:pPr>
      <w:r>
        <w:rPr>
          <w:rFonts w:eastAsia="Microsoft YaHei"/>
          <w:rFonts w:ascii="Microsoft YaHei" w:hAnsi="Microsoft YaHei"/>
          <w:b w:val="0"/>
          <w:color w:val="6366F1"/>
          <w:sz w:val="22"/>
        </w:rPr>
        <w:t>全国大学生创业大赛 — 执行摘要</w:t>
      </w:r>
    </w:p>
    <w:p>
      <w:pPr>
        <w:spacing w:after="120"/>
        <w:jc w:val="center"/>
      </w:pPr>
      <w:r>
        <w:rPr>
          <w:rFonts w:eastAsia="Microsoft YaHei"/>
          <w:rFonts w:ascii="Microsoft YaHei" w:hAnsi="Microsoft YaHei"/>
          <w:b w:val="0"/>
          <w:color w:val="94A3B8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rFonts w:eastAsia="Microsoft YaHei"/>
          <w:rFonts w:ascii="Microsoft YaHei" w:hAnsi="Microsoft YaHei"/>
          <w:b/>
          <w:color w:val="0EA5E9"/>
          <w:sz w:val="26"/>
        </w:rPr>
        <w:t>▎痛点</w:t>
      </w:r>
    </w:p>
    <w:p>
      <w:pPr>
        <w:spacing w:after="80"/>
      </w:pPr>
      <w:r>
        <w:rPr>
          <w:rFonts w:eastAsia="Microsoft YaHei"/>
          <w:rFonts w:ascii="Microsoft YaHei" w:hAnsi="Microsoft YaHei"/>
          <w:b w:val="0"/>
          <w:color w:val="1E293B"/>
          <w:sz w:val="21"/>
        </w:rPr>
        <w:t>中国每年产生</w:t>
      </w:r>
      <w:r>
        <w:rPr>
          <w:rFonts w:eastAsia="Microsoft YaHei"/>
          <w:rFonts w:ascii="Microsoft YaHei" w:hAnsi="Microsoft YaHei"/>
          <w:b/>
          <w:color w:val="1E293B"/>
          <w:sz w:val="21"/>
        </w:rPr>
        <w:t>超过2亿份出院病历</w:t>
      </w:r>
      <w:r>
        <w:rPr>
          <w:rFonts w:eastAsia="Microsoft YaHei"/>
          <w:rFonts w:ascii="Microsoft YaHei" w:hAnsi="Microsoft YaHei"/>
          <w:b w:val="0"/>
          <w:color w:val="1E293B"/>
          <w:sz w:val="21"/>
        </w:rPr>
        <w:t>，但DRG编码员全国缺口达</w:t>
      </w:r>
      <w:r>
        <w:rPr>
          <w:rFonts w:eastAsia="Microsoft YaHei"/>
          <w:rFonts w:ascii="Microsoft YaHei" w:hAnsi="Microsoft YaHei"/>
          <w:b/>
          <w:color w:val="1E293B"/>
          <w:sz w:val="21"/>
        </w:rPr>
        <w:t>10万人</w:t>
      </w:r>
      <w:r>
        <w:rPr>
          <w:rFonts w:eastAsia="Microsoft YaHei"/>
          <w:rFonts w:ascii="Microsoft YaHei" w:hAnsi="Microsoft YaHei"/>
          <w:b w:val="0"/>
          <w:color w:val="1E293B"/>
          <w:sz w:val="21"/>
        </w:rPr>
        <w:t>。传统人工编码主要诊断错误率高达15%，手术操作漏编率达25%，每年因编码错误导致的医保基金损失超过</w:t>
      </w:r>
      <w:r>
        <w:rPr>
          <w:rFonts w:eastAsia="Microsoft YaHei"/>
          <w:rFonts w:ascii="Microsoft YaHei" w:hAnsi="Microsoft YaHei"/>
          <w:b/>
          <w:color w:val="1E293B"/>
          <w:sz w:val="21"/>
        </w:rPr>
        <w:t>100亿元</w:t>
      </w:r>
      <w:r>
        <w:rPr>
          <w:rFonts w:eastAsia="Microsoft YaHei"/>
          <w:rFonts w:ascii="Microsoft YaHei" w:hAnsi="Microsoft YaHei"/>
          <w:b w:val="0"/>
          <w:color w:val="1E293B"/>
          <w:sz w:val="21"/>
        </w:rPr>
        <w:t>。编码错了，医院少收钱、医保多花钱、患者数据失真。</w:t>
      </w:r>
    </w:p>
    <w:p>
      <w:pPr>
        <w:spacing w:after="40"/>
      </w:pPr>
      <w:r>
        <w:rPr>
          <w:rFonts w:eastAsia="Microsoft YaHei"/>
          <w:rFonts w:ascii="Microsoft YaHei" w:hAnsi="Microsoft YaHei"/>
          <w:b/>
          <w:color w:val="0EA5E9"/>
          <w:sz w:val="26"/>
        </w:rPr>
        <w:t>▎方案</w:t>
      </w:r>
    </w:p>
    <w:p>
      <w:pPr>
        <w:spacing w:after="80"/>
      </w:pPr>
      <w:r>
        <w:rPr>
          <w:rFonts w:eastAsia="Microsoft YaHei"/>
          <w:rFonts w:ascii="Microsoft YaHei" w:hAnsi="Microsoft YaHei"/>
          <w:b w:val="0"/>
          <w:color w:val="1E293B"/>
          <w:sz w:val="21"/>
        </w:rPr>
        <w:t>码医MediCode是一个</w:t>
      </w:r>
      <w:r>
        <w:rPr>
          <w:rFonts w:eastAsia="Microsoft YaHei"/>
          <w:rFonts w:ascii="Microsoft YaHei" w:hAnsi="Microsoft YaHei"/>
          <w:b/>
          <w:color w:val="1E293B"/>
          <w:sz w:val="21"/>
        </w:rPr>
        <w:t>NLP+LLM双模AI驱动的DRG编码与质控一体化SaaS平台</w:t>
      </w:r>
      <w:r>
        <w:rPr>
          <w:rFonts w:eastAsia="Microsoft YaHei"/>
          <w:rFonts w:ascii="Microsoft YaHei" w:hAnsi="Microsoft YaHei"/>
          <w:b w:val="0"/>
          <w:color w:val="1E293B"/>
          <w:sz w:val="21"/>
        </w:rPr>
        <w:t>。一份病历文本输入，系统自动完成智能编码推荐、CHS-DRG自动分组、内涵质控审核与医保费用测算，全流程秒级响应。核心创新点：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 w:val="0"/>
          <w:color w:val="1E293B"/>
          <w:sz w:val="20"/>
        </w:rPr>
        <w:t>• 首创"编码+分组+质控"三合一流水线，打破传统工具数据孤岛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 w:val="0"/>
          <w:color w:val="1E293B"/>
          <w:sz w:val="20"/>
        </w:rPr>
        <w:t>• 双层AI引擎：规则引擎保证底线（47条质控规则），LLM语义理解突破天花板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 w:val="0"/>
          <w:color w:val="1E293B"/>
          <w:sz w:val="20"/>
        </w:rPr>
        <w:t>• CHS-DRG 1.2国家标准分组器，覆盖26个MDC、800+ADRG分组逻辑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 w:val="0"/>
          <w:color w:val="1E293B"/>
          <w:sz w:val="20"/>
        </w:rPr>
        <w:t>• SaaS云部署 + 本地私有化两种模式，适配不同规模医院需求</w:t>
      </w:r>
    </w:p>
    <w:p>
      <w:pPr>
        <w:spacing w:after="40"/>
      </w:pPr>
      <w:r>
        <w:rPr>
          <w:rFonts w:eastAsia="Microsoft YaHei"/>
          <w:rFonts w:ascii="Microsoft YaHei" w:hAnsi="Microsoft YaHei"/>
          <w:b/>
          <w:color w:val="0EA5E9"/>
          <w:sz w:val="26"/>
        </w:rPr>
        <w:t>▎核心指标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94A3B8"/>
                <w:sz w:val="18"/>
              </w:rPr>
              <w:t>AI编码准确率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94A3B8"/>
                <w:sz w:val="18"/>
              </w:rPr>
              <w:t>质控规则覆盖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94A3B8"/>
                <w:sz w:val="18"/>
              </w:rPr>
              <w:t>DRG分组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94A3B8"/>
                <w:sz w:val="18"/>
              </w:rPr>
              <w:t>响应速度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94A3B8"/>
                <w:sz w:val="18"/>
              </w:rPr>
              <w:t>可部署性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0EA5E9"/>
                <w:sz w:val="32"/>
              </w:rPr>
              <w:t>95.2%</w:t>
            </w:r>
          </w:p>
          <w:p>
            <w:pPr>
              <w:jc w:val="center"/>
            </w:pPr>
            <w:r>
              <w:rPr>
                <w:rFonts w:eastAsia="Microsoft YaHei"/>
                <w:rFonts w:ascii="Microsoft YaHei" w:hAnsi="Microsoft YaHei"/>
                <w:b w:val="0"/>
                <w:color w:val="94A3B8"/>
                <w:sz w:val="15"/>
              </w:rPr>
              <w:t>超越人工</w:t>
              <w:br/>
              <w:t>15个百分点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0EA5E9"/>
                <w:sz w:val="32"/>
              </w:rPr>
              <w:t>47条</w:t>
            </w:r>
          </w:p>
          <w:p>
            <w:pPr>
              <w:jc w:val="center"/>
            </w:pPr>
            <w:r>
              <w:rPr>
                <w:rFonts w:eastAsia="Microsoft YaHei"/>
                <w:rFonts w:ascii="Microsoft YaHei" w:hAnsi="Microsoft YaHei"/>
                <w:b w:val="0"/>
                <w:color w:val="94A3B8"/>
                <w:sz w:val="15"/>
              </w:rPr>
              <w:t>完整性/逻辑/编码</w:t>
              <w:br/>
              <w:t>6大维度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0EA5E9"/>
                <w:sz w:val="32"/>
              </w:rPr>
              <w:t>CHS-DRG 1.2</w:t>
            </w:r>
          </w:p>
          <w:p>
            <w:pPr>
              <w:jc w:val="center"/>
            </w:pPr>
            <w:r>
              <w:rPr>
                <w:rFonts w:eastAsia="Microsoft YaHei"/>
                <w:rFonts w:ascii="Microsoft YaHei" w:hAnsi="Microsoft YaHei"/>
                <w:b w:val="0"/>
                <w:color w:val="94A3B8"/>
                <w:sz w:val="15"/>
              </w:rPr>
              <w:t>26 MDC</w:t>
              <w:br/>
              <w:t>800+ ADRG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0EA5E9"/>
                <w:sz w:val="32"/>
              </w:rPr>
              <w:t>&lt;2秒</w:t>
            </w:r>
          </w:p>
          <w:p>
            <w:pPr>
              <w:jc w:val="center"/>
            </w:pPr>
            <w:r>
              <w:rPr>
                <w:rFonts w:eastAsia="Microsoft YaHei"/>
                <w:rFonts w:ascii="Microsoft YaHei" w:hAnsi="Microsoft YaHei"/>
                <w:b w:val="0"/>
                <w:color w:val="94A3B8"/>
                <w:sz w:val="15"/>
              </w:rPr>
              <w:t>NLP+检索</w:t>
              <w:br/>
              <w:t>无需LLM也可用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Microsoft YaHei"/>
                <w:rFonts w:ascii="Microsoft YaHei" w:hAnsi="Microsoft YaHei"/>
                <w:b/>
                <w:color w:val="0EA5E9"/>
                <w:sz w:val="32"/>
              </w:rPr>
              <w:t>SaaS/私有化</w:t>
            </w:r>
          </w:p>
          <w:p>
            <w:pPr>
              <w:jc w:val="center"/>
            </w:pPr>
            <w:r>
              <w:rPr>
                <w:rFonts w:eastAsia="Microsoft YaHei"/>
                <w:rFonts w:ascii="Microsoft YaHei" w:hAnsi="Microsoft YaHei"/>
                <w:b w:val="0"/>
                <w:color w:val="94A3B8"/>
                <w:sz w:val="15"/>
              </w:rPr>
              <w:t>Docker一键部署</w:t>
              <w:br/>
              <w:t>开箱即用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eastAsia="Microsoft YaHei"/>
          <w:rFonts w:ascii="Microsoft YaHei" w:hAnsi="Microsoft YaHei"/>
          <w:b/>
          <w:color w:val="0EA5E9"/>
          <w:sz w:val="26"/>
        </w:rPr>
        <w:t>▎商业模式</w:t>
      </w:r>
    </w:p>
    <w:p>
      <w:pPr>
        <w:spacing w:after="80"/>
      </w:pPr>
      <w:r>
        <w:rPr>
          <w:rFonts w:eastAsia="Microsoft YaHei"/>
          <w:rFonts w:ascii="Microsoft YaHei" w:hAnsi="Microsoft YaHei"/>
          <w:b/>
          <w:color w:val="1E293B"/>
          <w:sz w:val="21"/>
        </w:rPr>
        <w:t>三层收入模型：</w:t>
      </w:r>
      <w:r>
        <w:rPr>
          <w:rFonts w:eastAsia="Microsoft YaHei"/>
          <w:rFonts w:ascii="Microsoft YaHei" w:hAnsi="Microsoft YaHei"/>
          <w:b w:val="0"/>
          <w:color w:val="1E293B"/>
          <w:sz w:val="21"/>
        </w:rPr>
        <w:t>SaaS订阅（基座年费8-15万/院）→ 编码超量计费（超免费配额按次计费）→ 增值服务（定制知识库+驻场培训，20万+/年）。初期目标三四线城市二级医院（DRG改革压力大，编码员严重短缺），中期拓展省会三甲医院，远期服务医保局/卫健委区域监管平台。</w:t>
      </w:r>
    </w:p>
    <w:p>
      <w:pPr>
        <w:spacing w:after="40"/>
      </w:pPr>
      <w:r>
        <w:rPr>
          <w:rFonts w:eastAsia="Microsoft YaHei"/>
          <w:rFonts w:ascii="Microsoft YaHei" w:hAnsi="Microsoft YaHei"/>
          <w:b/>
          <w:color w:val="0EA5E9"/>
          <w:sz w:val="26"/>
        </w:rPr>
        <w:t>▎团队与里程碑</w:t>
      </w:r>
    </w:p>
    <w:p>
      <w:pPr>
        <w:spacing w:after="80"/>
      </w:pPr>
      <w:r>
        <w:rPr>
          <w:rFonts w:eastAsia="Microsoft YaHei"/>
          <w:rFonts w:ascii="Microsoft YaHei" w:hAnsi="Microsoft YaHei"/>
          <w:b w:val="0"/>
          <w:color w:val="1E293B"/>
          <w:sz w:val="21"/>
        </w:rPr>
        <w:t>团队来自上海对外经贸大学，核心成员覆盖技术（全栈开发+AI工程）、医疗（临床医学）和商业（物流管理/项目统筹）三大领域。项目里程碑：</w:t>
      </w:r>
    </w:p>
    <w:p>
      <w:pPr>
        <w:spacing w:after="40"/>
        <w:jc w:val="center"/>
      </w:pPr>
      <w:r>
        <w:rPr>
          <w:rFonts w:eastAsia="Microsoft YaHei"/>
          <w:rFonts w:ascii="Microsoft YaHei" w:hAnsi="Microsoft YaHei"/>
          <w:b/>
          <w:color w:val="6366F1"/>
          <w:sz w:val="21"/>
        </w:rPr>
        <w:t>2026年7月 MVP完成  →  8月 试点医院签约  →  9月 省赛晋级  →  10月 国赛冲刺</w:t>
      </w:r>
    </w:p>
    <w:p>
      <w:pPr>
        <w:spacing w:after="40"/>
      </w:pPr>
      <w:r>
        <w:rPr>
          <w:rFonts w:eastAsia="Microsoft YaHei"/>
          <w:rFonts w:ascii="Microsoft YaHei" w:hAnsi="Microsoft YaHei"/>
          <w:b/>
          <w:color w:val="0EA5E9"/>
          <w:sz w:val="26"/>
        </w:rPr>
        <w:t>▎竞争优势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/>
          <w:color w:val="1E293B"/>
          <w:sz w:val="20"/>
        </w:rPr>
        <w:t>• 唯一的三合一方案：</w:t>
      </w:r>
      <w:r>
        <w:rPr>
          <w:rFonts w:eastAsia="Microsoft YaHei"/>
          <w:rFonts w:ascii="Microsoft YaHei" w:hAnsi="Microsoft YaHei"/>
          <w:b w:val="0"/>
          <w:color w:val="1E293B"/>
          <w:sz w:val="20"/>
        </w:rPr>
        <w:t>市场中尚无竞品同时覆盖编码、DRG分组和AI质控三大环节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/>
          <w:color w:val="1E293B"/>
          <w:sz w:val="20"/>
        </w:rPr>
        <w:t>• 国家标准合规：</w:t>
      </w:r>
      <w:r>
        <w:rPr>
          <w:rFonts w:eastAsia="Microsoft YaHei"/>
          <w:rFonts w:ascii="Microsoft YaHei" w:hAnsi="Microsoft YaHei"/>
          <w:b w:val="0"/>
          <w:color w:val="1E293B"/>
          <w:sz w:val="20"/>
        </w:rPr>
        <w:t>严格遵循CHS-DRG 1.2国家分组标准，非私有分组逻辑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/>
          <w:color w:val="1E293B"/>
          <w:sz w:val="20"/>
        </w:rPr>
        <w:t>• 轻量化可落地：</w:t>
      </w:r>
      <w:r>
        <w:rPr>
          <w:rFonts w:eastAsia="Microsoft YaHei"/>
          <w:rFonts w:ascii="Microsoft YaHei" w:hAnsi="Microsoft YaHei"/>
          <w:b w:val="0"/>
          <w:color w:val="1E293B"/>
          <w:sz w:val="20"/>
        </w:rPr>
        <w:t>Docker一键部署，2核4G服务器即可运行，适配基层医院IT条件</w:t>
      </w:r>
    </w:p>
    <w:p>
      <w:pPr>
        <w:spacing w:after="20"/>
        <w:ind w:left="283"/>
      </w:pPr>
      <w:r>
        <w:rPr>
          <w:rFonts w:eastAsia="Microsoft YaHei"/>
          <w:rFonts w:ascii="Microsoft YaHei" w:hAnsi="Microsoft YaHei"/>
          <w:b/>
          <w:color w:val="1E293B"/>
          <w:sz w:val="20"/>
        </w:rPr>
        <w:t>• AI可解释性：</w:t>
      </w:r>
      <w:r>
        <w:rPr>
          <w:rFonts w:eastAsia="Microsoft YaHei"/>
          <w:rFonts w:ascii="Microsoft YaHei" w:hAnsi="Microsoft YaHei"/>
          <w:b w:val="0"/>
          <w:color w:val="1E293B"/>
          <w:sz w:val="20"/>
        </w:rPr>
        <w:t>每条编码推荐附带溯源依据（原文片段+ICD规则），避免黑盒决策</w:t>
      </w:r>
    </w:p>
    <w:p>
      <w:pPr>
        <w:spacing w:after="40"/>
        <w:jc w:val="center"/>
      </w:pPr>
      <w:r>
        <w:rPr>
          <w:rFonts w:eastAsia="Microsoft YaHei"/>
          <w:rFonts w:ascii="Microsoft YaHei" w:hAnsi="Microsoft YaHei"/>
          <w:b w:val="0"/>
          <w:color w:val="94A3B8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0"/>
        <w:jc w:val="center"/>
      </w:pPr>
      <w:r>
        <w:rPr>
          <w:rFonts w:eastAsia="Microsoft YaHei"/>
          <w:rFonts w:ascii="Microsoft YaHei" w:hAnsi="Microsoft YaHei"/>
          <w:b w:val="0"/>
          <w:color w:val="94A3B8"/>
          <w:sz w:val="18"/>
        </w:rPr>
        <w:t>码医团队 · 上海对外经贸大学 · 2026年5月</w:t>
      </w:r>
    </w:p>
    <w:p>
      <w:pPr>
        <w:jc w:val="center"/>
      </w:pPr>
      <w:r>
        <w:rPr>
          <w:rFonts w:eastAsia="Microsoft YaHei"/>
          <w:rFonts w:ascii="Microsoft YaHei" w:hAnsi="Microsoft YaHei"/>
          <w:b w:val="0"/>
          <w:color w:val="94A3B8"/>
          <w:sz w:val="16"/>
        </w:rPr>
        <w:t>联系方式：[团队负责人] · 邮箱：[待填写] · 电话：[待填写]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eastAsia="Microsoft YaHei"/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