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【远期】「心脏+ APP：多导异步采集 + ST趋势分析」功能体系与专家共识评估表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一个面向产品决策和医学专家评审都能看懂的 </w:t>
      </w:r>
      <w:r>
        <w:rPr>
          <w:rFonts w:eastAsia="等线" w:ascii="Arial" w:cs="Arial" w:hAnsi="Arial"/>
          <w:b w:val="true"/>
          <w:sz w:val="22"/>
        </w:rPr>
        <w:t>功能总表 + 医学共识支撑表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下面是完整总结（包含功能逻辑、对应医学意义、专家共识支撑程度和可落地性评估）。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💓「心脏+ APP：多导异步采集 + ST趋势分析」功能体系与专家共识评估表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🩺 医学共识等级（总结）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99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🚀 总结：从专家与产品双重角度的判断</w:t>
      </w:r>
      <w:bookmarkEnd w:id="2"/>
    </w:p>
    <w:p>
      <w:pPr>
        <w:spacing w:before="120" w:after="120" w:line="288" w:lineRule="auto"/>
        <w:ind w:left="0"/>
      </w:pPr>
      <w:r>
        <w:object>
          <v:shape id="_x0000_i1027" style="width:414pt;height:109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1️⃣ </w:t>
      </w:r>
      <w:r>
        <w:rPr>
          <w:rFonts w:eastAsia="等线" w:ascii="Arial" w:cs="Arial" w:hAnsi="Arial"/>
          <w:b w:val="true"/>
          <w:sz w:val="22"/>
        </w:rPr>
        <w:t>PRD级功能矩阵表</w:t>
      </w:r>
      <w:r>
        <w:rPr>
          <w:rFonts w:eastAsia="等线" w:ascii="Arial" w:cs="Arial" w:hAnsi="Arial"/>
          <w:sz w:val="22"/>
        </w:rPr>
        <w:t>（清晰说明每个功能如何落地：功能→技术→临床→C端呈现）</w:t>
        <w:br/>
      </w:r>
      <w:r>
        <w:rPr>
          <w:rFonts w:eastAsia="等线" w:ascii="Arial" w:cs="Arial" w:hAnsi="Arial"/>
          <w:sz w:val="22"/>
        </w:rPr>
        <w:t xml:space="preserve"> 2️⃣ </w:t>
      </w:r>
      <w:r>
        <w:rPr>
          <w:rFonts w:eastAsia="等线" w:ascii="Arial" w:cs="Arial" w:hAnsi="Arial"/>
          <w:b w:val="true"/>
          <w:sz w:val="22"/>
        </w:rPr>
        <w:t>医学与专家共识支撑总图（可汇报图像版）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一、📘 PRD级功能矩阵表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（适用于立项汇报 / 产品说明书 / 医学顾问评审）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二、医学与专家共识支撑总览（可视化结构图草稿）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文字结构图说明层级逻辑（结构+配色+箭头流程）。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🧠 心脏+ APP：多导异步采集 + ST趋势分析</w:t>
              <w:br/>
              <w:t>─────────────────────────────────────</w:t>
              <w:br/>
              <w:t>├─ 1. 信号采集层</w:t>
              <w:br/>
              <w:t>│   ├─ Apple Watch ECG原始信号</w:t>
              <w:br/>
              <w:t>│   ├─ 用户引导多导异步采集 (I/II/III)</w:t>
              <w:br/>
              <w:t>│   └─ [专家共识] Einthoven三角理论（AHA ECG标准）</w:t>
              <w:br/>
              <w:t>│</w:t>
              <w:br/>
              <w:t>├─ 2. 信号处理层</w:t>
              <w:br/>
              <w:t>│   ├─ 滤波 / 基线漂移校正</w:t>
              <w:br/>
              <w:t>│   ├─ QRS与J点检测（ST测量起点）</w:t>
              <w:br/>
              <w:t>│   └─ [专家共识] ANSI/AAMI EC57</w:t>
              <w:br/>
              <w:t>│</w:t>
              <w:br/>
              <w:t>├─ 3. 算法分析层</w:t>
              <w:br/>
              <w:t>│   ├─ ST段提取与动态趋势（Kalman滤波）</w:t>
              <w:br/>
              <w:t>│   │   └─ [共识] ESC STEMI 2017：ST↑≥0.1mV临床阈值</w:t>
              <w:br/>
              <w:t>│   ├─ 多导融合 (VCG重建)</w:t>
              <w:br/>
              <w:t>│   │   └─ [文献] Circulation 2001;103:1185</w:t>
              <w:br/>
              <w:t>│   ├─ 个体化基线建模</w:t>
              <w:br/>
              <w:t>│   │   └─ [研究] J Electrocardiol 2019;57S:S47</w:t>
              <w:br/>
              <w:t>│   └─ 心肌负荷指数（ST+HRV融合）</w:t>
              <w:br/>
              <w:t>│       └─ [趋势研究] JACC 2021;78:1763</w:t>
              <w:br/>
              <w:t>│</w:t>
              <w:br/>
              <w:t>├─ 4. 可视化与用户体验层</w:t>
              <w:br/>
              <w:t>│   ├─ ST趋势曲线 / 心肌负荷图</w:t>
              <w:br/>
              <w:t>│   ├─ 异常波动提示（AI置信度）</w:t>
              <w:br/>
              <w:t>│   ├─ 用户引导动画（多导探索模式）</w:t>
              <w:br/>
              <w:t>│   └─ [临床转化] FDA-approved digital ECG UI参考</w:t>
              <w:br/>
              <w:t>│</w:t>
              <w:br/>
              <w:t>├─ 5. 医生端通路</w:t>
              <w:br/>
              <w:t>│   ├─ 异常数据上报</w:t>
              <w:br/>
              <w:t>│   ├─ 医生工作台查看多导趋势</w:t>
              <w:br/>
              <w:t>│   ├─ AI辅助判读</w:t>
              <w:br/>
              <w:t>│   └─ [共识] ESC Digital Health 2022: Telecardiology</w:t>
              <w:br/>
              <w:t>│</w:t>
              <w:br/>
              <w:t>└─ 6. 数据安全与合规</w:t>
              <w:br/>
              <w:t xml:space="preserve">    ├─ AES加密传输</w:t>
              <w:br/>
              <w:t xml:space="preserve">    ├─ GDPR / PIPL合规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 [标准] ISO 27701 医疗数据隐私框架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📊 图像化版本（说明）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图像结构将分三层展开：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⭕ 用户端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手表测ECG → 导联引导动画 → 数据上传 → 趋势图展示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界面呈现：ST趋势曲线 + 心脏负荷指数 + 提示卡片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⚙️ 算法层</w:t>
      </w:r>
      <w:bookmarkEnd w:id="7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ECG信号处理 → 多导融合 → ST段提取 → 趋势建模 → 异常检测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🩺 医生端</w:t>
      </w:r>
      <w:bookmarkEnd w:id="8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接收AI分析结果 + 原始波形 → 医生标注/审核 → 回传报告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二导联 ST段医学融合型项目（基于 Apple Watch ECG）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一、研究目标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构建一个基于</w:t>
      </w:r>
      <w:r>
        <w:rPr>
          <w:rFonts w:eastAsia="等线" w:ascii="Arial" w:cs="Arial" w:hAnsi="Arial"/>
          <w:b w:val="true"/>
          <w:sz w:val="22"/>
        </w:rPr>
        <w:t>Apple Watch 单导/双导 ECG 数据</w:t>
      </w:r>
      <w:r>
        <w:rPr>
          <w:rFonts w:eastAsia="等线" w:ascii="Arial" w:cs="Arial" w:hAnsi="Arial"/>
          <w:sz w:val="22"/>
        </w:rPr>
        <w:t xml:space="preserve">的 </w:t>
      </w:r>
      <w:r>
        <w:rPr>
          <w:rFonts w:eastAsia="等线" w:ascii="Arial" w:cs="Arial" w:hAnsi="Arial"/>
          <w:b w:val="true"/>
          <w:sz w:val="22"/>
        </w:rPr>
        <w:t>ST 段趋势监测与风险提示系统</w:t>
      </w:r>
      <w:r>
        <w:rPr>
          <w:rFonts w:eastAsia="等线" w:ascii="Arial" w:cs="Arial" w:hAnsi="Arial"/>
          <w:sz w:val="22"/>
        </w:rPr>
        <w:t>，</w:t>
        <w:br/>
      </w:r>
      <w:r>
        <w:rPr>
          <w:rFonts w:eastAsia="等线" w:ascii="Arial" w:cs="Arial" w:hAnsi="Arial"/>
          <w:sz w:val="22"/>
        </w:rPr>
        <w:t xml:space="preserve"> 通过算法与循证医学共识结合，探索在 C 端实现早期心肌缺血预警与生活方式干预的可行性。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二、功能模块与医学支撑（专家共识融合版）</w:t>
      </w:r>
      <w:bookmarkEnd w:id="11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三、医学价值与创新点</w:t>
      </w:r>
      <w:bookmarkEnd w:id="12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四、产品原型结构（医学融合型）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┌───────────────────────────────────────────┐</w:t>
              <w:br/>
              <w:t>│              心脏+ APP (C端用户)           │</w:t>
              <w:br/>
              <w:t>├───────────────────────────────────────────┤</w:t>
              <w:br/>
              <w:t>│ ① 导联引导采集 (I, II, 模拟V5)            │</w:t>
              <w:br/>
              <w:t>│ ② ST段检测 → ST偏移趋势图                 │</w:t>
              <w:br/>
              <w:t>│ ③ 异常提示：轻度/中度/高风险              │</w:t>
              <w:br/>
              <w:t>│ ④ 症状关联：胸闷打标签                    │</w:t>
              <w:br/>
              <w:t>│ ⑤ 医生复核：上传趋势至医生端              │</w:t>
              <w:br/>
              <w:t>│ ⑥ AI 风险评分 + 生活建议                  │</w:t>
              <w:br/>
              <w:t>└───────────────────────────────────────────┘</w:t>
              <w:br/>
              <w:br/>
              <w:t xml:space="preserve">         ↓ 云端同步</w:t>
              <w:br/>
              <w:t>┌────────────────────────────┐</w:t>
              <w:br/>
              <w:t>│   医生端（心脏+ Doctor）     │</w:t>
              <w:br/>
              <w:t>│  ① 趋势图审阅与解释          │</w:t>
              <w:br/>
              <w:t>│  ② 异常病例标注与修正        │</w:t>
              <w:br/>
              <w:t>│  ③ 数据回流训练模型          │</w:t>
              <w:br/>
              <w:t>└────────────────────────────┘</w:t>
              <w:br/>
              <w:br/>
              <w:t xml:space="preserve">         ↓ 数据科学层</w:t>
              <w:br/>
              <w:t>┌────────────────────────────┐</w:t>
              <w:br/>
              <w:t>│  信号分析引擎（ST检测 / 趋势 / 导联判别）│</w:t>
              <w:br/>
              <w:t>│  医学知识库（AHA/ESC共识）                │</w:t>
              <w:br/>
              <w:t>│  模型验证层（与临床对照试验数据）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五、潜在论文方向与题目建议</w:t>
      </w:r>
      <w:bookmarkEnd w:id="1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《基于可穿戴设备的多导异步重构心电信号在ST段趋势检测中的应用》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《融合临床共识的可解释性ST趋势分析算法研究》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《Apple Watch ECG在心肌缺血早期筛查中的可行性评估与算法优化》</w:t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119572">
    <w:lvl>
      <w:numFmt w:val="bullet"/>
      <w:suff w:val="tab"/>
      <w:lvlText w:val="•"/>
      <w:rPr>
        <w:color w:val="3370ff"/>
      </w:rPr>
    </w:lvl>
  </w:abstractNum>
  <w:abstractNum w:abstractNumId="4119573">
    <w:lvl>
      <w:numFmt w:val="bullet"/>
      <w:suff w:val="tab"/>
      <w:lvlText w:val="•"/>
      <w:rPr>
        <w:color w:val="3370ff"/>
      </w:rPr>
    </w:lvl>
  </w:abstractNum>
  <w:abstractNum w:abstractNumId="4119574">
    <w:lvl>
      <w:numFmt w:val="bullet"/>
      <w:suff w:val="tab"/>
      <w:lvlText w:val="•"/>
      <w:rPr>
        <w:color w:val="3370ff"/>
      </w:rPr>
    </w:lvl>
  </w:abstractNum>
  <w:abstractNum w:abstractNumId="4119575">
    <w:lvl>
      <w:numFmt w:val="bullet"/>
      <w:suff w:val="tab"/>
      <w:lvlText w:val="•"/>
      <w:rPr>
        <w:color w:val="3370ff"/>
      </w:rPr>
    </w:lvl>
  </w:abstractNum>
  <w:abstractNum w:abstractNumId="4119576">
    <w:lvl>
      <w:start w:val="1"/>
      <w:numFmt w:val="decimal"/>
      <w:suff w:val="tab"/>
      <w:lvlText w:val="%1."/>
      <w:rPr>
        <w:color w:val="3370ff"/>
      </w:rPr>
    </w:lvl>
  </w:abstractNum>
  <w:abstractNum w:abstractNumId="4119577">
    <w:lvl>
      <w:start w:val="2"/>
      <w:numFmt w:val="decimal"/>
      <w:suff w:val="tab"/>
      <w:lvlText w:val="%1."/>
      <w:rPr>
        <w:color w:val="3370ff"/>
      </w:rPr>
    </w:lvl>
  </w:abstractNum>
  <w:abstractNum w:abstractNumId="411957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119572"/>
  </w:num>
  <w:num w:numId="2">
    <w:abstractNumId w:val="4119573"/>
  </w:num>
  <w:num w:numId="3">
    <w:abstractNumId w:val="4119574"/>
  </w:num>
  <w:num w:numId="4">
    <w:abstractNumId w:val="4119575"/>
  </w:num>
  <w:num w:numId="5">
    <w:abstractNumId w:val="4119576"/>
  </w:num>
  <w:num w:numId="6">
    <w:abstractNumId w:val="4119577"/>
  </w:num>
  <w:num w:numId="7">
    <w:abstractNumId w:val="41195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numbering.xml" Type="http://schemas.openxmlformats.org/officeDocument/2006/relationships/numbering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2025-12-30T10:08:24Z</dcterms:created>
  <dc:creator>Apache POI</dc:creator>
</cp:coreProperties>
</file>