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【远期】改变接触方式模拟多导联，面向C端用户的ST段功能落地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🧠 一、信号可行性分析：改变接触方式模拟多导联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Apple Watch默认提供</w:t>
      </w:r>
      <w:r>
        <w:rPr>
          <w:rFonts w:eastAsia="等线" w:ascii="Arial" w:cs="Arial" w:hAnsi="Arial"/>
          <w:b w:val="true"/>
          <w:sz w:val="22"/>
        </w:rPr>
        <w:t>单导联（相当于I导联）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通过改变手表接触方式（如右手/左手触摸、胸前放置、脚接触等），可以分别采集</w:t>
      </w:r>
      <w:r>
        <w:rPr>
          <w:rFonts w:eastAsia="等线" w:ascii="Arial" w:cs="Arial" w:hAnsi="Arial"/>
          <w:b w:val="true"/>
          <w:sz w:val="22"/>
        </w:rPr>
        <w:t>类II、III、aVR、aVL、aVF等导联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不同接触点 → 电势差方向不同 → 形成“近似多导联”的电生理投影。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技术可行性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结论：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模拟II、III、aVF导联最有意义，尤其用于</w:t>
      </w:r>
      <w:r>
        <w:rPr>
          <w:rFonts w:eastAsia="等线" w:ascii="Arial" w:cs="Arial" w:hAnsi="Arial"/>
          <w:b w:val="true"/>
          <w:sz w:val="22"/>
        </w:rPr>
        <w:t>下壁ST监测（ST段抬高/压低趋势）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多导联可通过算法重建出</w:t>
      </w:r>
      <w:r>
        <w:rPr>
          <w:rFonts w:eastAsia="等线" w:ascii="Arial" w:cs="Arial" w:hAnsi="Arial"/>
          <w:b w:val="true"/>
          <w:sz w:val="22"/>
        </w:rPr>
        <w:t>等效空间向量心电（VCG）</w:t>
      </w:r>
      <w:r>
        <w:rPr>
          <w:rFonts w:eastAsia="等线" w:ascii="Arial" w:cs="Arial" w:hAnsi="Arial"/>
          <w:sz w:val="22"/>
        </w:rPr>
        <w:t>，增强ST趋势分析稳定性。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⚙️ 二、算法可行性与实现路线</w:t>
      </w:r>
      <w:bookmarkEnd w:id="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每个用户可多次录制不同接触方式的心电。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通过导联关系矩阵（Einthoven、Goldberger方程）重建三维心向量。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对ST段点（J点+80ms）进行时序特征提取。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算法思路</w:t>
      </w:r>
    </w:p>
    <w:p>
      <w:pPr>
        <w:spacing w:before="120" w:after="120" w:line="288" w:lineRule="auto"/>
        <w:ind w:left="0"/>
      </w:pPr>
      <w:r>
        <w:object>
          <v:shape id="_x0000_i1026" style="width:414pt;height:141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🩺 三、临床与医学价值（专家角度）</w:t>
      </w:r>
      <w:bookmarkEnd w:id="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ST段在临床的核心意义</w:t>
      </w:r>
    </w:p>
    <w:p>
      <w:pPr>
        <w:spacing w:before="120" w:after="120" w:line="288" w:lineRule="auto"/>
        <w:ind w:left="0"/>
      </w:pPr>
      <w:r>
        <w:object>
          <v:shape id="_x0000_i1027" style="width:414pt;height:9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在C端的可转译临床价值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趋势监测</w:t>
      </w:r>
      <w:r>
        <w:rPr>
          <w:rFonts w:eastAsia="等线" w:ascii="Arial" w:cs="Arial" w:hAnsi="Arial"/>
          <w:sz w:val="22"/>
        </w:rPr>
        <w:t>：连续几天ST抬高趋势，可作为“心肌负荷增加”的早期信号。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运动安全提示</w:t>
      </w:r>
      <w:r>
        <w:rPr>
          <w:rFonts w:eastAsia="等线" w:ascii="Arial" w:cs="Arial" w:hAnsi="Arial"/>
          <w:sz w:val="22"/>
        </w:rPr>
        <w:t>：运动中ST显著下降，可提示“运动强度过高”。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药物/康复疗效反馈</w:t>
      </w:r>
      <w:r>
        <w:rPr>
          <w:rFonts w:eastAsia="等线" w:ascii="Arial" w:cs="Arial" w:hAnsi="Arial"/>
          <w:sz w:val="22"/>
        </w:rPr>
        <w:t>：服药后ST稳定性改善可视化。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压力/睡眠影响分析</w:t>
      </w:r>
      <w:r>
        <w:rPr>
          <w:rFonts w:eastAsia="等线" w:ascii="Arial" w:cs="Arial" w:hAnsi="Arial"/>
          <w:sz w:val="22"/>
        </w:rPr>
        <w:t>：结合HRV、ST波动反映自主神经张力。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📱 四、C端产品化落地建议</w:t>
      </w:r>
      <w:bookmarkEnd w:id="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功能模块构想</w:t>
      </w:r>
    </w:p>
    <w:p>
      <w:pPr>
        <w:spacing w:before="120" w:after="120" w:line="288" w:lineRule="auto"/>
        <w:ind w:left="0"/>
      </w:pPr>
      <w:r>
        <w:object>
          <v:shape id="_x0000_i1028" style="width:414pt;height:109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交互设计建议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视觉呈现</w:t>
      </w:r>
      <w:r>
        <w:rPr>
          <w:rFonts w:eastAsia="等线" w:ascii="Arial" w:cs="Arial" w:hAnsi="Arial"/>
          <w:sz w:val="22"/>
        </w:rPr>
        <w:t>：以“心脏能量曲线”替代医学术语ST段曲线。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AI说明文案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“您的心脏电活动在过去3天较为稳定。”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“检测到轻微ST段下降，建议减少熬夜和高强度运动。”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教育向引导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小贴士：“ST段变化是反映心脏供氧的窗口，持续异常请就医。”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🌍 五、可扩展方向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HRV/睡眠/血氧/运动强度</w:t>
      </w:r>
      <w:r>
        <w:rPr>
          <w:rFonts w:eastAsia="等线" w:ascii="Arial" w:cs="Arial" w:hAnsi="Arial"/>
          <w:sz w:val="22"/>
        </w:rPr>
        <w:t>结合形成“心肌负荷指数”。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</w:t>
      </w:r>
      <w:r>
        <w:rPr>
          <w:rFonts w:eastAsia="等线" w:ascii="Arial" w:cs="Arial" w:hAnsi="Arial"/>
          <w:b w:val="true"/>
          <w:sz w:val="22"/>
        </w:rPr>
        <w:t>用户个体基线模型</w:t>
      </w:r>
      <w:r>
        <w:rPr>
          <w:rFonts w:eastAsia="等线" w:ascii="Arial" w:cs="Arial" w:hAnsi="Arial"/>
          <w:sz w:val="22"/>
        </w:rPr>
        <w:t>，形成“个体数字孪生心脏”。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长期目标：在家庭端实现</w:t>
      </w:r>
      <w:r>
        <w:rPr>
          <w:rFonts w:eastAsia="等线" w:ascii="Arial" w:cs="Arial" w:hAnsi="Arial"/>
          <w:b w:val="true"/>
          <w:sz w:val="22"/>
        </w:rPr>
        <w:t>慢性心肌缺血的早期监测系统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119544">
    <w:lvl>
      <w:start w:val="1"/>
      <w:numFmt w:val="decimal"/>
      <w:suff w:val="tab"/>
      <w:lvlText w:val="%1."/>
      <w:rPr>
        <w:color w:val="3370ff"/>
      </w:rPr>
    </w:lvl>
  </w:abstractNum>
  <w:abstractNum w:abstractNumId="4119545">
    <w:lvl>
      <w:numFmt w:val="bullet"/>
      <w:suff w:val="tab"/>
      <w:lvlText w:val="•"/>
      <w:rPr>
        <w:color w:val="3370ff"/>
      </w:rPr>
    </w:lvl>
  </w:abstractNum>
  <w:abstractNum w:abstractNumId="4119546">
    <w:lvl>
      <w:numFmt w:val="bullet"/>
      <w:suff w:val="tab"/>
      <w:lvlText w:val="•"/>
      <w:rPr>
        <w:color w:val="3370ff"/>
      </w:rPr>
    </w:lvl>
  </w:abstractNum>
  <w:abstractNum w:abstractNumId="4119547">
    <w:lvl>
      <w:numFmt w:val="bullet"/>
      <w:suff w:val="tab"/>
      <w:lvlText w:val="•"/>
      <w:rPr>
        <w:color w:val="3370ff"/>
      </w:rPr>
    </w:lvl>
  </w:abstractNum>
  <w:abstractNum w:abstractNumId="4119548">
    <w:lvl>
      <w:start w:val="2"/>
      <w:numFmt w:val="decimal"/>
      <w:suff w:val="tab"/>
      <w:lvlText w:val="%1."/>
      <w:rPr>
        <w:color w:val="3370ff"/>
      </w:rPr>
    </w:lvl>
  </w:abstractNum>
  <w:abstractNum w:abstractNumId="4119549">
    <w:lvl>
      <w:numFmt w:val="bullet"/>
      <w:suff w:val="tab"/>
      <w:lvlText w:val="•"/>
      <w:rPr>
        <w:color w:val="3370ff"/>
      </w:rPr>
    </w:lvl>
  </w:abstractNum>
  <w:abstractNum w:abstractNumId="4119550">
    <w:lvl>
      <w:numFmt w:val="bullet"/>
      <w:suff w:val="tab"/>
      <w:lvlText w:val="•"/>
      <w:rPr>
        <w:color w:val="3370ff"/>
      </w:rPr>
    </w:lvl>
  </w:abstractNum>
  <w:abstractNum w:abstractNumId="4119551">
    <w:lvl>
      <w:start w:val="3"/>
      <w:numFmt w:val="decimal"/>
      <w:suff w:val="tab"/>
      <w:lvlText w:val="%1."/>
      <w:rPr>
        <w:color w:val="3370ff"/>
      </w:rPr>
    </w:lvl>
  </w:abstractNum>
  <w:abstractNum w:abstractNumId="4119552">
    <w:lvl>
      <w:numFmt w:val="bullet"/>
      <w:suff w:val="tab"/>
      <w:lvlText w:val="•"/>
      <w:rPr>
        <w:color w:val="3370ff"/>
      </w:rPr>
    </w:lvl>
  </w:abstractNum>
  <w:abstractNum w:abstractNumId="4119553">
    <w:lvl>
      <w:numFmt w:val="bullet"/>
      <w:suff w:val="tab"/>
      <w:lvlText w:val="•"/>
      <w:rPr>
        <w:color w:val="3370ff"/>
      </w:rPr>
    </w:lvl>
  </w:abstractNum>
  <w:abstractNum w:abstractNumId="4119554">
    <w:lvl>
      <w:numFmt w:val="bullet"/>
      <w:suff w:val="tab"/>
      <w:lvlText w:val="•"/>
      <w:rPr>
        <w:color w:val="3370ff"/>
      </w:rPr>
    </w:lvl>
  </w:abstractNum>
  <w:abstractNum w:abstractNumId="4119555">
    <w:lvl>
      <w:start w:val="4"/>
      <w:numFmt w:val="decimal"/>
      <w:suff w:val="tab"/>
      <w:lvlText w:val="%1."/>
      <w:rPr>
        <w:color w:val="3370ff"/>
      </w:rPr>
    </w:lvl>
  </w:abstractNum>
  <w:abstractNum w:abstractNumId="4119556">
    <w:lvl>
      <w:start w:val="5"/>
      <w:numFmt w:val="decimal"/>
      <w:suff w:val="tab"/>
      <w:lvlText w:val="%1."/>
      <w:rPr>
        <w:color w:val="3370ff"/>
      </w:rPr>
    </w:lvl>
  </w:abstractNum>
  <w:abstractNum w:abstractNumId="4119557">
    <w:lvl>
      <w:start w:val="6"/>
      <w:numFmt w:val="decimal"/>
      <w:suff w:val="tab"/>
      <w:lvlText w:val="%1."/>
      <w:rPr>
        <w:color w:val="3370ff"/>
      </w:rPr>
    </w:lvl>
  </w:abstractNum>
  <w:abstractNum w:abstractNumId="4119558">
    <w:lvl>
      <w:numFmt w:val="bullet"/>
      <w:suff w:val="tab"/>
      <w:lvlText w:val="•"/>
      <w:rPr>
        <w:color w:val="3370ff"/>
      </w:rPr>
    </w:lvl>
  </w:abstractNum>
  <w:abstractNum w:abstractNumId="4119559">
    <w:lvl>
      <w:numFmt w:val="bullet"/>
      <w:suff w:val="tab"/>
      <w:lvlText w:val="•"/>
      <w:rPr>
        <w:color w:val="3370ff"/>
      </w:rPr>
    </w:lvl>
  </w:abstractNum>
  <w:abstractNum w:abstractNumId="4119560">
    <w:lvl>
      <w:numFmt w:val="bullet"/>
      <w:suff w:val="tab"/>
      <w:lvlText w:val="•"/>
      <w:rPr>
        <w:color w:val="3370ff"/>
      </w:rPr>
    </w:lvl>
  </w:abstractNum>
  <w:abstractNum w:abstractNumId="4119561">
    <w:lvl>
      <w:numFmt w:val="bullet"/>
      <w:suff w:val="tab"/>
      <w:lvlText w:val="•"/>
      <w:rPr>
        <w:color w:val="3370ff"/>
      </w:rPr>
    </w:lvl>
  </w:abstractNum>
  <w:abstractNum w:abstractNumId="4119562">
    <w:lvl>
      <w:start w:val="7"/>
      <w:numFmt w:val="decimal"/>
      <w:suff w:val="tab"/>
      <w:lvlText w:val="%1."/>
      <w:rPr>
        <w:color w:val="3370ff"/>
      </w:rPr>
    </w:lvl>
  </w:abstractNum>
  <w:abstractNum w:abstractNumId="4119563">
    <w:lvl>
      <w:start w:val="8"/>
      <w:numFmt w:val="decimal"/>
      <w:suff w:val="tab"/>
      <w:lvlText w:val="%1."/>
      <w:rPr>
        <w:color w:val="3370ff"/>
      </w:rPr>
    </w:lvl>
  </w:abstractNum>
  <w:abstractNum w:abstractNumId="4119564">
    <w:lvl>
      <w:numFmt w:val="bullet"/>
      <w:suff w:val="tab"/>
      <w:lvlText w:val="•"/>
      <w:rPr>
        <w:color w:val="3370ff"/>
      </w:rPr>
    </w:lvl>
  </w:abstractNum>
  <w:abstractNum w:abstractNumId="4119565">
    <w:lvl>
      <w:numFmt w:val="bullet"/>
      <w:suff w:val="tab"/>
      <w:lvlText w:val="•"/>
      <w:rPr>
        <w:color w:val="3370ff"/>
      </w:rPr>
    </w:lvl>
  </w:abstractNum>
  <w:abstractNum w:abstractNumId="4119566">
    <w:lvl>
      <w:numFmt w:val="bullet"/>
      <w:suff w:val="tab"/>
      <w:lvlText w:val="￮"/>
      <w:rPr>
        <w:color w:val="3370ff"/>
      </w:rPr>
    </w:lvl>
  </w:abstractNum>
  <w:abstractNum w:abstractNumId="4119567">
    <w:lvl>
      <w:numFmt w:val="bullet"/>
      <w:suff w:val="tab"/>
      <w:lvlText w:val="￮"/>
      <w:rPr>
        <w:color w:val="3370ff"/>
      </w:rPr>
    </w:lvl>
  </w:abstractNum>
  <w:abstractNum w:abstractNumId="4119568">
    <w:lvl>
      <w:numFmt w:val="bullet"/>
      <w:suff w:val="tab"/>
      <w:lvlText w:val="•"/>
      <w:rPr>
        <w:color w:val="3370ff"/>
      </w:rPr>
    </w:lvl>
  </w:abstractNum>
  <w:abstractNum w:abstractNumId="4119569">
    <w:lvl>
      <w:numFmt w:val="bullet"/>
      <w:suff w:val="tab"/>
      <w:lvlText w:val="•"/>
      <w:rPr>
        <w:color w:val="3370ff"/>
      </w:rPr>
    </w:lvl>
  </w:abstractNum>
  <w:abstractNum w:abstractNumId="4119570">
    <w:lvl>
      <w:numFmt w:val="bullet"/>
      <w:suff w:val="tab"/>
      <w:lvlText w:val="•"/>
      <w:rPr>
        <w:color w:val="3370ff"/>
      </w:rPr>
    </w:lvl>
  </w:abstractNum>
  <w:abstractNum w:abstractNumId="4119571">
    <w:lvl>
      <w:numFmt w:val="bullet"/>
      <w:suff w:val="tab"/>
      <w:lvlText w:val="•"/>
      <w:rPr>
        <w:color w:val="3370ff"/>
      </w:rPr>
    </w:lvl>
  </w:abstractNum>
  <w:num w:numId="1">
    <w:abstractNumId w:val="4119544"/>
  </w:num>
  <w:num w:numId="2">
    <w:abstractNumId w:val="4119545"/>
  </w:num>
  <w:num w:numId="3">
    <w:abstractNumId w:val="4119546"/>
  </w:num>
  <w:num w:numId="4">
    <w:abstractNumId w:val="4119547"/>
  </w:num>
  <w:num w:numId="5">
    <w:abstractNumId w:val="4119548"/>
  </w:num>
  <w:num w:numId="6">
    <w:abstractNumId w:val="4119549"/>
  </w:num>
  <w:num w:numId="7">
    <w:abstractNumId w:val="4119550"/>
  </w:num>
  <w:num w:numId="8">
    <w:abstractNumId w:val="4119551"/>
  </w:num>
  <w:num w:numId="9">
    <w:abstractNumId w:val="4119552"/>
  </w:num>
  <w:num w:numId="10">
    <w:abstractNumId w:val="4119553"/>
  </w:num>
  <w:num w:numId="11">
    <w:abstractNumId w:val="4119554"/>
  </w:num>
  <w:num w:numId="12">
    <w:abstractNumId w:val="4119555"/>
  </w:num>
  <w:num w:numId="13">
    <w:abstractNumId w:val="4119556"/>
  </w:num>
  <w:num w:numId="14">
    <w:abstractNumId w:val="4119557"/>
  </w:num>
  <w:num w:numId="15">
    <w:abstractNumId w:val="4119558"/>
  </w:num>
  <w:num w:numId="16">
    <w:abstractNumId w:val="4119559"/>
  </w:num>
  <w:num w:numId="17">
    <w:abstractNumId w:val="4119560"/>
  </w:num>
  <w:num w:numId="18">
    <w:abstractNumId w:val="4119561"/>
  </w:num>
  <w:num w:numId="19">
    <w:abstractNumId w:val="4119562"/>
  </w:num>
  <w:num w:numId="20">
    <w:abstractNumId w:val="4119563"/>
  </w:num>
  <w:num w:numId="21">
    <w:abstractNumId w:val="4119564"/>
  </w:num>
  <w:num w:numId="22">
    <w:abstractNumId w:val="4119565"/>
  </w:num>
  <w:num w:numId="23">
    <w:abstractNumId w:val="4119566"/>
  </w:num>
  <w:num w:numId="24">
    <w:abstractNumId w:val="4119567"/>
  </w:num>
  <w:num w:numId="25">
    <w:abstractNumId w:val="4119568"/>
  </w:num>
  <w:num w:numId="26">
    <w:abstractNumId w:val="4119569"/>
  </w:num>
  <w:num w:numId="27">
    <w:abstractNumId w:val="4119570"/>
  </w:num>
  <w:num w:numId="28">
    <w:abstractNumId w:val="41195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2025-12-30T10:08:09Z</dcterms:created>
  <dc:creator>Apache POI</dc:creator>
</cp:coreProperties>
</file>