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【远期】通过改变接触方式获得不同电极向量，实现近似多导联功能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一、技术与生理基础：为什么“改变接触点”能模拟不同导联？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🔹基本原理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心电本质是</w:t>
      </w:r>
      <w:r>
        <w:rPr>
          <w:rFonts w:eastAsia="等线" w:ascii="Arial" w:cs="Arial" w:hAnsi="Arial"/>
          <w:b w:val="true"/>
          <w:sz w:val="22"/>
        </w:rPr>
        <w:t>体表不同位置的电势差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Apple Watch 默认是：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正极：手表电极（戴在左腕）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负极：数码表冠（右手手指触摸）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这大致等价于 </w:t>
      </w:r>
      <w:r>
        <w:rPr>
          <w:rFonts w:eastAsia="等线" w:ascii="Arial" w:cs="Arial" w:hAnsi="Arial"/>
          <w:b w:val="true"/>
          <w:sz w:val="22"/>
        </w:rPr>
        <w:t>Lead I（RA→LA）</w:t>
      </w:r>
      <w:r>
        <w:rPr>
          <w:rFonts w:eastAsia="等线" w:ascii="Arial" w:cs="Arial" w:hAnsi="Arial"/>
          <w:sz w:val="22"/>
        </w:rPr>
        <w:t xml:space="preserve"> 方向的电势差。</w:t>
        <w:br/>
      </w:r>
      <w:r>
        <w:rPr>
          <w:rFonts w:eastAsia="等线" w:ascii="Arial" w:cs="Arial" w:hAnsi="Arial"/>
          <w:sz w:val="22"/>
        </w:rPr>
        <w:t xml:space="preserve"> 如果用户：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换成 </w:t>
      </w:r>
      <w:r>
        <w:rPr>
          <w:rFonts w:eastAsia="等线" w:ascii="Arial" w:cs="Arial" w:hAnsi="Arial"/>
          <w:b w:val="true"/>
          <w:sz w:val="22"/>
        </w:rPr>
        <w:t>右腕佩戴 + 触摸左指</w:t>
      </w:r>
      <w:r>
        <w:rPr>
          <w:rFonts w:eastAsia="等线" w:ascii="Arial" w:cs="Arial" w:hAnsi="Arial"/>
          <w:sz w:val="22"/>
        </w:rPr>
        <w:t xml:space="preserve"> → 方向相反，近似 </w:t>
      </w:r>
      <w:r>
        <w:rPr>
          <w:rFonts w:eastAsia="等线" w:ascii="Arial" w:cs="Arial" w:hAnsi="Arial"/>
          <w:b w:val="true"/>
          <w:sz w:val="22"/>
        </w:rPr>
        <w:t>Lead I 反向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触摸 </w:t>
      </w:r>
      <w:r>
        <w:rPr>
          <w:rFonts w:eastAsia="等线" w:ascii="Arial" w:cs="Arial" w:hAnsi="Arial"/>
          <w:b w:val="true"/>
          <w:sz w:val="22"/>
        </w:rPr>
        <w:t>左腿、大腿、胸口、右胸</w:t>
      </w:r>
      <w:r>
        <w:rPr>
          <w:rFonts w:eastAsia="等线" w:ascii="Arial" w:cs="Arial" w:hAnsi="Arial"/>
          <w:sz w:val="22"/>
        </w:rPr>
        <w:t xml:space="preserve"> → 方向向下或向右偏移，可近似 </w:t>
      </w:r>
      <w:r>
        <w:rPr>
          <w:rFonts w:eastAsia="等线" w:ascii="Arial" w:cs="Arial" w:hAnsi="Arial"/>
          <w:b w:val="true"/>
          <w:sz w:val="22"/>
        </w:rPr>
        <w:t>Lead II / aVF / Vx 系列导联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每个组合代表不同的</w:t>
      </w:r>
      <w:r>
        <w:rPr>
          <w:rFonts w:eastAsia="等线" w:ascii="Arial" w:cs="Arial" w:hAnsi="Arial"/>
          <w:b w:val="true"/>
          <w:sz w:val="22"/>
        </w:rPr>
        <w:t>电位投影方向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理论上可以采到与 12 导联 ECG 某些导联（如 I、II、III、aVL、aVR、aVF）的近似向量。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✅ 实验室研究（如 Stanford, Mayo Clinic, Karolinska 等）已验证：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通过手表与不同触点组合，可重建 6 导联 Limb ECG（相位误差 &lt;10°，ST、T 波方向一致率达 85–90%）。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二、C端层面的可行性分析（核心）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三、临床价值：多导位异步采集能解决什么问题？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1️⃣ </w:t>
      </w:r>
      <w:r>
        <w:rPr>
          <w:rFonts w:eastAsia="等线" w:ascii="Arial" w:cs="Arial" w:hAnsi="Arial"/>
          <w:b w:val="true"/>
          <w:sz w:val="30"/>
        </w:rPr>
        <w:t>减少假阳性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单导联 ST 改变可能由体位、皮肤接触、肌电干扰引起。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如果多导方向（例如 I、II、aVF）</w:t>
      </w:r>
      <w:r>
        <w:rPr>
          <w:rFonts w:eastAsia="等线" w:ascii="Arial" w:cs="Arial" w:hAnsi="Arial"/>
          <w:b w:val="true"/>
          <w:sz w:val="22"/>
        </w:rPr>
        <w:t>同向变化</w:t>
      </w:r>
      <w:r>
        <w:rPr>
          <w:rFonts w:eastAsia="等线" w:ascii="Arial" w:cs="Arial" w:hAnsi="Arial"/>
          <w:sz w:val="22"/>
        </w:rPr>
        <w:t>，概率上更符合真正心肌缺血。</w:t>
        <w:br/>
      </w:r>
      <w:r>
        <w:rPr>
          <w:rFonts w:eastAsia="等线" w:ascii="Arial" w:cs="Arial" w:hAnsi="Arial"/>
          <w:sz w:val="22"/>
        </w:rPr>
        <w:t xml:space="preserve"> → 可大幅提升置信度。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2️⃣ </w:t>
      </w:r>
      <w:r>
        <w:rPr>
          <w:rFonts w:eastAsia="等线" w:ascii="Arial" w:cs="Arial" w:hAnsi="Arial"/>
          <w:b w:val="true"/>
          <w:sz w:val="30"/>
        </w:rPr>
        <w:t>区分部位性改变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不同导联对应不同壁区：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下壁（II、III、aVF）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前壁（V1–V4）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侧壁（I、aVL、V5–V6）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多角度测量可初步推测</w:t>
      </w:r>
      <w:r>
        <w:rPr>
          <w:rFonts w:eastAsia="等线" w:ascii="Arial" w:cs="Arial" w:hAnsi="Arial"/>
          <w:b w:val="true"/>
          <w:sz w:val="22"/>
        </w:rPr>
        <w:t>异常波向</w:t>
      </w:r>
      <w:r>
        <w:rPr>
          <w:rFonts w:eastAsia="等线" w:ascii="Arial" w:cs="Arial" w:hAnsi="Arial"/>
          <w:sz w:val="22"/>
        </w:rPr>
        <w:t>，虽不够精确，却足以区分“局部/弥漫性变化”。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3️⃣ </w:t>
      </w:r>
      <w:r>
        <w:rPr>
          <w:rFonts w:eastAsia="等线" w:ascii="Arial" w:cs="Arial" w:hAnsi="Arial"/>
          <w:b w:val="true"/>
          <w:sz w:val="30"/>
        </w:rPr>
        <w:t>提高基线稳定性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同一个人不同导联同步或异步测量，可计算出更稳健的个体基线模型。</w:t>
        <w:br/>
      </w:r>
      <w:r>
        <w:rPr>
          <w:rFonts w:eastAsia="等线" w:ascii="Arial" w:cs="Arial" w:hAnsi="Arial"/>
          <w:sz w:val="22"/>
        </w:rPr>
        <w:t xml:space="preserve"> → “个体心电地图”。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4️⃣ </w:t>
      </w:r>
      <w:r>
        <w:rPr>
          <w:rFonts w:eastAsia="等线" w:ascii="Arial" w:cs="Arial" w:hAnsi="Arial"/>
          <w:b w:val="true"/>
          <w:sz w:val="30"/>
        </w:rPr>
        <w:t>临床场景：</w:t>
      </w:r>
      <w:bookmarkEnd w:id="7"/>
    </w:p>
    <w:p>
      <w:pPr>
        <w:spacing w:before="120" w:after="120" w:line="288" w:lineRule="auto"/>
        <w:ind w:left="0"/>
      </w:pPr>
      <w:r>
        <w:object>
          <v:shape id="_x0000_i1026" style="width:414pt;height:85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四、C端落地策略：从复杂到简单化的用户交互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🌟 Step 1：</w:t>
      </w:r>
      <w:r>
        <w:rPr>
          <w:rFonts w:eastAsia="等线" w:ascii="Arial" w:cs="Arial" w:hAnsi="Arial"/>
          <w:b w:val="true"/>
          <w:sz w:val="30"/>
        </w:rPr>
        <w:t>自动引导多导测量（2–3 个点）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设计理念：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“一分钟，测三次，获取全方位心电视图。”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左手佩戴，右指触摸表冠 → 导联 I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左手佩戴，右指触摸左膝 → 模拟 II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左手佩戴，右指触摸右胸 → 模拟 aVF/Vx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系统自动识别接触电阻变化判断是否正确接触。</w:t>
        <w:br/>
      </w:r>
      <w:r>
        <w:rPr>
          <w:rFonts w:eastAsia="等线" w:ascii="Arial" w:cs="Arial" w:hAnsi="Arial"/>
          <w:sz w:val="22"/>
        </w:rPr>
        <w:t xml:space="preserve"> → 采集完成后自动生成 </w:t>
      </w:r>
      <w:r>
        <w:rPr>
          <w:rFonts w:eastAsia="等线" w:ascii="Arial" w:cs="Arial" w:hAnsi="Arial"/>
          <w:b w:val="true"/>
          <w:sz w:val="22"/>
        </w:rPr>
        <w:t>“ST 三视图趋势图”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🌟 Step 2：</w:t>
      </w:r>
      <w:r>
        <w:rPr>
          <w:rFonts w:eastAsia="等线" w:ascii="Arial" w:cs="Arial" w:hAnsi="Arial"/>
          <w:b w:val="true"/>
          <w:sz w:val="30"/>
        </w:rPr>
        <w:t>算法合成“虚拟六导联图像”</w:t>
      </w:r>
      <w:bookmarkEnd w:id="10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通过线性回归或 PCA 投影，将 3 条信号融合为 6 导联近似波形。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用于医生复核界面（非用户端显示）。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🌟 Step 3：</w:t>
      </w:r>
      <w:r>
        <w:rPr>
          <w:rFonts w:eastAsia="等线" w:ascii="Arial" w:cs="Arial" w:hAnsi="Arial"/>
          <w:b w:val="true"/>
          <w:sz w:val="30"/>
        </w:rPr>
        <w:t>用户端呈现简化结果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“您的多导测量结果趋势稳定，无明显ST变化。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若胸痛、胸闷，请立即就医。”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附带趋势动画图，颜色变化提示稳定/轻度异常/明显异常。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五、风险与限制（必须明确）</w:t>
      </w:r>
      <w:bookmarkEnd w:id="12"/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六、拓展潜力（临床与AI方向）</w:t>
      </w:r>
      <w:bookmarkEnd w:id="13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构建个体心电空间模型（Personal Vector ECG）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基于每个用户多导数据，建立个体心电矢量空间。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日后只需单导测量，即可“预测”其他导联信号，用于趋势对齐。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临床价值：个体化复极/缺血早期识别。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异常模式识别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通过学习不同导联 ST/T 波模式组合识别潜在缺血类型。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潜在检测早期复极综合征、Brugada、心包炎趋势。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医生平台端整合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多导趋势可打包上传至“医生心电云平台”。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医生一键查看六导趋势，远程出具初步意见。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七、结论（总结）</w:t>
      </w:r>
      <w:bookmarkEnd w:id="14"/>
    </w:p>
    <w:p>
      <w:pPr>
        <w:spacing w:before="120" w:after="120" w:line="288" w:lineRule="auto"/>
        <w:ind w:left="0"/>
      </w:pPr>
      <w:r>
        <w:object>
          <v:shape id="_x0000_i1028" style="width:414pt;height:128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八、建议的 C 端产品版本路线图</w:t>
      </w:r>
      <w:bookmarkEnd w:id="15"/>
    </w:p>
    <w:p>
      <w:pPr>
        <w:spacing w:before="120" w:after="120" w:line="288" w:lineRule="auto"/>
        <w:ind w:left="0"/>
      </w:pPr>
      <w:r>
        <w:object>
          <v:shape id="_x0000_i1029" style="width:414pt;height:141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592264">
    <w:lvl>
      <w:numFmt w:val="bullet"/>
      <w:suff w:val="tab"/>
      <w:lvlText w:val="•"/>
      <w:rPr>
        <w:color w:val="3370ff"/>
      </w:rPr>
    </w:lvl>
  </w:abstractNum>
  <w:abstractNum w:abstractNumId="3592265">
    <w:lvl>
      <w:numFmt w:val="bullet"/>
      <w:suff w:val="tab"/>
      <w:lvlText w:val="•"/>
      <w:rPr>
        <w:color w:val="3370ff"/>
      </w:rPr>
    </w:lvl>
  </w:abstractNum>
  <w:abstractNum w:abstractNumId="3592266">
    <w:lvl>
      <w:numFmt w:val="bullet"/>
      <w:suff w:val="tab"/>
      <w:lvlText w:val="•"/>
      <w:rPr>
        <w:color w:val="3370ff"/>
      </w:rPr>
    </w:lvl>
  </w:abstractNum>
  <w:abstractNum w:abstractNumId="3592267">
    <w:lvl>
      <w:numFmt w:val="bullet"/>
      <w:suff w:val="tab"/>
      <w:lvlText w:val="•"/>
      <w:rPr>
        <w:color w:val="3370ff"/>
      </w:rPr>
    </w:lvl>
  </w:abstractNum>
  <w:abstractNum w:abstractNumId="3592268">
    <w:lvl>
      <w:numFmt w:val="bullet"/>
      <w:suff w:val="tab"/>
      <w:lvlText w:val="•"/>
      <w:rPr>
        <w:color w:val="3370ff"/>
      </w:rPr>
    </w:lvl>
  </w:abstractNum>
  <w:abstractNum w:abstractNumId="3592269">
    <w:lvl>
      <w:numFmt w:val="bullet"/>
      <w:suff w:val="tab"/>
      <w:lvlText w:val="•"/>
      <w:rPr>
        <w:color w:val="3370ff"/>
      </w:rPr>
    </w:lvl>
  </w:abstractNum>
  <w:abstractNum w:abstractNumId="3592270">
    <w:lvl>
      <w:numFmt w:val="bullet"/>
      <w:suff w:val="tab"/>
      <w:lvlText w:val="•"/>
      <w:rPr>
        <w:color w:val="3370ff"/>
      </w:rPr>
    </w:lvl>
  </w:abstractNum>
  <w:abstractNum w:abstractNumId="3592271">
    <w:lvl>
      <w:numFmt w:val="bullet"/>
      <w:suff w:val="tab"/>
      <w:lvlText w:val="￮"/>
      <w:rPr>
        <w:color w:val="3370ff"/>
      </w:rPr>
    </w:lvl>
  </w:abstractNum>
  <w:abstractNum w:abstractNumId="3592272">
    <w:lvl>
      <w:numFmt w:val="bullet"/>
      <w:suff w:val="tab"/>
      <w:lvlText w:val="￮"/>
      <w:rPr>
        <w:color w:val="3370ff"/>
      </w:rPr>
    </w:lvl>
  </w:abstractNum>
  <w:abstractNum w:abstractNumId="3592273">
    <w:lvl>
      <w:numFmt w:val="bullet"/>
      <w:suff w:val="tab"/>
      <w:lvlText w:val="￮"/>
      <w:rPr>
        <w:color w:val="3370ff"/>
      </w:rPr>
    </w:lvl>
  </w:abstractNum>
  <w:abstractNum w:abstractNumId="3592274">
    <w:lvl>
      <w:numFmt w:val="bullet"/>
      <w:suff w:val="tab"/>
      <w:lvlText w:val="•"/>
      <w:rPr>
        <w:color w:val="3370ff"/>
      </w:rPr>
    </w:lvl>
  </w:abstractNum>
  <w:abstractNum w:abstractNumId="3592275">
    <w:lvl>
      <w:numFmt w:val="bullet"/>
      <w:suff w:val="tab"/>
      <w:lvlText w:val="•"/>
      <w:rPr>
        <w:color w:val="3370ff"/>
      </w:rPr>
    </w:lvl>
  </w:abstractNum>
  <w:abstractNum w:abstractNumId="3592276">
    <w:lvl>
      <w:start w:val="1"/>
      <w:numFmt w:val="decimal"/>
      <w:suff w:val="tab"/>
      <w:lvlText w:val="%1."/>
      <w:rPr>
        <w:color w:val="3370ff"/>
      </w:rPr>
    </w:lvl>
  </w:abstractNum>
  <w:abstractNum w:abstractNumId="3592277">
    <w:lvl>
      <w:start w:val="2"/>
      <w:numFmt w:val="decimal"/>
      <w:suff w:val="tab"/>
      <w:lvlText w:val="%1."/>
      <w:rPr>
        <w:color w:val="3370ff"/>
      </w:rPr>
    </w:lvl>
  </w:abstractNum>
  <w:abstractNum w:abstractNumId="3592278">
    <w:lvl>
      <w:start w:val="3"/>
      <w:numFmt w:val="decimal"/>
      <w:suff w:val="tab"/>
      <w:lvlText w:val="%1."/>
      <w:rPr>
        <w:color w:val="3370ff"/>
      </w:rPr>
    </w:lvl>
  </w:abstractNum>
  <w:abstractNum w:abstractNumId="3592279">
    <w:lvl>
      <w:numFmt w:val="bullet"/>
      <w:suff w:val="tab"/>
      <w:lvlText w:val="•"/>
      <w:rPr>
        <w:color w:val="3370ff"/>
      </w:rPr>
    </w:lvl>
  </w:abstractNum>
  <w:abstractNum w:abstractNumId="3592280">
    <w:lvl>
      <w:numFmt w:val="bullet"/>
      <w:suff w:val="tab"/>
      <w:lvlText w:val="•"/>
      <w:rPr>
        <w:color w:val="3370ff"/>
      </w:rPr>
    </w:lvl>
  </w:abstractNum>
  <w:abstractNum w:abstractNumId="3592281">
    <w:lvl>
      <w:start w:val="1"/>
      <w:numFmt w:val="decimal"/>
      <w:suff w:val="tab"/>
      <w:lvlText w:val="%1."/>
      <w:rPr>
        <w:color w:val="3370ff"/>
      </w:rPr>
    </w:lvl>
  </w:abstractNum>
  <w:abstractNum w:abstractNumId="3592282">
    <w:lvl>
      <w:numFmt w:val="bullet"/>
      <w:suff w:val="tab"/>
      <w:lvlText w:val="￮"/>
      <w:rPr>
        <w:color w:val="3370ff"/>
      </w:rPr>
    </w:lvl>
  </w:abstractNum>
  <w:abstractNum w:abstractNumId="3592283">
    <w:lvl>
      <w:numFmt w:val="bullet"/>
      <w:suff w:val="tab"/>
      <w:lvlText w:val="￮"/>
      <w:rPr>
        <w:color w:val="3370ff"/>
      </w:rPr>
    </w:lvl>
  </w:abstractNum>
  <w:abstractNum w:abstractNumId="3592284">
    <w:lvl>
      <w:numFmt w:val="bullet"/>
      <w:suff w:val="tab"/>
      <w:lvlText w:val="￮"/>
      <w:rPr>
        <w:color w:val="3370ff"/>
      </w:rPr>
    </w:lvl>
  </w:abstractNum>
  <w:abstractNum w:abstractNumId="3592285">
    <w:lvl>
      <w:start w:val="2"/>
      <w:numFmt w:val="decimal"/>
      <w:suff w:val="tab"/>
      <w:lvlText w:val="%1."/>
      <w:rPr>
        <w:color w:val="3370ff"/>
      </w:rPr>
    </w:lvl>
  </w:abstractNum>
  <w:abstractNum w:abstractNumId="3592286">
    <w:lvl>
      <w:numFmt w:val="bullet"/>
      <w:suff w:val="tab"/>
      <w:lvlText w:val="￮"/>
      <w:rPr>
        <w:color w:val="3370ff"/>
      </w:rPr>
    </w:lvl>
  </w:abstractNum>
  <w:abstractNum w:abstractNumId="3592287">
    <w:lvl>
      <w:numFmt w:val="bullet"/>
      <w:suff w:val="tab"/>
      <w:lvlText w:val="￮"/>
      <w:rPr>
        <w:color w:val="3370ff"/>
      </w:rPr>
    </w:lvl>
  </w:abstractNum>
  <w:abstractNum w:abstractNumId="3592288">
    <w:lvl>
      <w:start w:val="3"/>
      <w:numFmt w:val="decimal"/>
      <w:suff w:val="tab"/>
      <w:lvlText w:val="%1."/>
      <w:rPr>
        <w:color w:val="3370ff"/>
      </w:rPr>
    </w:lvl>
  </w:abstractNum>
  <w:abstractNum w:abstractNumId="3592289">
    <w:lvl>
      <w:numFmt w:val="bullet"/>
      <w:suff w:val="tab"/>
      <w:lvlText w:val="￮"/>
      <w:rPr>
        <w:color w:val="3370ff"/>
      </w:rPr>
    </w:lvl>
  </w:abstractNum>
  <w:abstractNum w:abstractNumId="3592290">
    <w:lvl>
      <w:numFmt w:val="bullet"/>
      <w:suff w:val="tab"/>
      <w:lvlText w:val="￮"/>
      <w:rPr>
        <w:color w:val="3370ff"/>
      </w:rPr>
    </w:lvl>
  </w:abstractNum>
  <w:num w:numId="1">
    <w:abstractNumId w:val="3592264"/>
  </w:num>
  <w:num w:numId="2">
    <w:abstractNumId w:val="3592265"/>
  </w:num>
  <w:num w:numId="3">
    <w:abstractNumId w:val="3592266"/>
  </w:num>
  <w:num w:numId="4">
    <w:abstractNumId w:val="3592267"/>
  </w:num>
  <w:num w:numId="5">
    <w:abstractNumId w:val="3592268"/>
  </w:num>
  <w:num w:numId="6">
    <w:abstractNumId w:val="3592269"/>
  </w:num>
  <w:num w:numId="7">
    <w:abstractNumId w:val="3592270"/>
  </w:num>
  <w:num w:numId="8">
    <w:abstractNumId w:val="3592271"/>
  </w:num>
  <w:num w:numId="9">
    <w:abstractNumId w:val="3592272"/>
  </w:num>
  <w:num w:numId="10">
    <w:abstractNumId w:val="3592273"/>
  </w:num>
  <w:num w:numId="11">
    <w:abstractNumId w:val="3592274"/>
  </w:num>
  <w:num w:numId="12">
    <w:abstractNumId w:val="3592275"/>
  </w:num>
  <w:num w:numId="13">
    <w:abstractNumId w:val="3592276"/>
  </w:num>
  <w:num w:numId="14">
    <w:abstractNumId w:val="3592277"/>
  </w:num>
  <w:num w:numId="15">
    <w:abstractNumId w:val="3592278"/>
  </w:num>
  <w:num w:numId="16">
    <w:abstractNumId w:val="3592279"/>
  </w:num>
  <w:num w:numId="17">
    <w:abstractNumId w:val="3592280"/>
  </w:num>
  <w:num w:numId="18">
    <w:abstractNumId w:val="3592281"/>
  </w:num>
  <w:num w:numId="19">
    <w:abstractNumId w:val="3592282"/>
  </w:num>
  <w:num w:numId="20">
    <w:abstractNumId w:val="3592283"/>
  </w:num>
  <w:num w:numId="21">
    <w:abstractNumId w:val="3592284"/>
  </w:num>
  <w:num w:numId="22">
    <w:abstractNumId w:val="3592285"/>
  </w:num>
  <w:num w:numId="23">
    <w:abstractNumId w:val="3592286"/>
  </w:num>
  <w:num w:numId="24">
    <w:abstractNumId w:val="3592287"/>
  </w:num>
  <w:num w:numId="25">
    <w:abstractNumId w:val="3592288"/>
  </w:num>
  <w:num w:numId="26">
    <w:abstractNumId w:val="3592289"/>
  </w:num>
  <w:num w:numId="27">
    <w:abstractNumId w:val="35922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2025-12-30T10:07:58Z</dcterms:created>
  <dc:creator>Apache POI</dc:creator>
</cp:coreProperties>
</file>