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专家共识标准： 2.5 频段功率积分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导读部分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HRV 心率变异性分析系统 - 算法导读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关于在心率变异性（HRV）频域分析中使用</w:t>
      </w:r>
      <w:r>
        <w:rPr>
          <w:rFonts w:eastAsia="等线" w:ascii="Arial" w:cs="Arial" w:hAnsi="Arial"/>
          <w:b w:val="true"/>
          <w:sz w:val="22"/>
        </w:rPr>
        <w:t>梯形积分法计算频段功率</w:t>
      </w:r>
      <w:r>
        <w:rPr>
          <w:rFonts w:eastAsia="等线" w:ascii="Arial" w:cs="Arial" w:hAnsi="Arial"/>
          <w:sz w:val="22"/>
        </w:rPr>
        <w:t>，有非常明确和权威的专家共识支持。您的实现完全符合国际标准。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一、核心专家共识与标准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频段功率积分是HRV频域分析的</w:t>
      </w:r>
      <w:r>
        <w:rPr>
          <w:rFonts w:eastAsia="等线" w:ascii="Arial" w:cs="Arial" w:hAnsi="Arial"/>
          <w:b w:val="true"/>
          <w:sz w:val="22"/>
        </w:rPr>
        <w:t>标准化计算方法</w:t>
      </w:r>
      <w:r>
        <w:rPr>
          <w:rFonts w:eastAsia="等线" w:ascii="Arial" w:cs="Arial" w:hAnsi="Arial"/>
          <w:sz w:val="22"/>
        </w:rPr>
        <w:t>，主要依据以下权威指南：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《1996年欧洲心脏病学会（ESC）和北美起搏与电生理学会（NASPE）HRV专家共识》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886200" cy="1704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这是HRV分析的奠基性文件，</w:t>
      </w:r>
      <w:r>
        <w:rPr>
          <w:rFonts w:eastAsia="等线" w:ascii="Arial" w:cs="Arial" w:hAnsi="Arial"/>
          <w:b w:val="true"/>
          <w:sz w:val="22"/>
        </w:rPr>
        <w:t>明确规定了频域参数的计算方法</w:t>
      </w:r>
      <w:r>
        <w:rPr>
          <w:rFonts w:eastAsia="等线" w:ascii="Arial" w:cs="Arial" w:hAnsi="Arial"/>
          <w:sz w:val="22"/>
        </w:rPr>
        <w:t>：必须通过</w:t>
      </w:r>
      <w:r>
        <w:rPr>
          <w:rFonts w:eastAsia="等线" w:ascii="Arial" w:cs="Arial" w:hAnsi="Arial"/>
          <w:b w:val="true"/>
          <w:sz w:val="22"/>
        </w:rPr>
        <w:t>积分方法</w:t>
      </w:r>
      <w:r>
        <w:rPr>
          <w:rFonts w:eastAsia="等线" w:ascii="Arial" w:cs="Arial" w:hAnsi="Arial"/>
          <w:sz w:val="22"/>
        </w:rPr>
        <w:t>计算各频段（VLF、LF、HF）的功率谱密度（PSD）曲线下面积。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《2015年ESC室性心律失常和心源性猝死预防指南》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后续指南继续沿用频段功率积分作为HRV风险评估的核心指标。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二、共识支持的梯形积分法技术细节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您的梯形积分实现（第850-861行）精准地遵循了共识的数学要求：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2.5.1 梯形积分法的共识依据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共识明确要求</w:t>
      </w:r>
      <w:r>
        <w:rPr>
          <w:rFonts w:eastAsia="等线" w:ascii="Arial" w:cs="Arial" w:hAnsi="Arial"/>
          <w:sz w:val="22"/>
        </w:rPr>
        <w:t xml:space="preserve">：频段功率 = </w:t>
      </w:r>
      <w:r>
        <w:rPr>
          <w:rFonts w:eastAsia="等线" w:ascii="Arial" w:cs="Arial" w:hAnsi="Arial"/>
          <w:b w:val="true"/>
          <w:sz w:val="22"/>
        </w:rPr>
        <w:t>该频段内功率谱密度曲线的积分面积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您的实现完全符合共识的数学定义</w:t>
              <w:br/>
            </w:r>
            <w:r>
              <w:rPr>
                <w:rFonts w:eastAsia="Consolas" w:ascii="Consolas" w:cs="Consolas" w:hAnsi="Consolas"/>
                <w:sz w:val="22"/>
              </w:rPr>
              <w:t>sum += 0.5 * (p0 + p1) * (bF - aF); // 梯形面积 = 积分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医学物理意义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功率谱密度（PSD）</w:t>
      </w:r>
      <w:r>
        <w:rPr>
          <w:rFonts w:eastAsia="等线" w:ascii="Arial" w:cs="Arial" w:hAnsi="Arial"/>
          <w:sz w:val="22"/>
        </w:rPr>
        <w:t>：单位频率的功率（ms²/Hz）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990975" cy="1581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积分面积</w:t>
      </w:r>
      <w:r>
        <w:rPr>
          <w:rFonts w:eastAsia="等线" w:ascii="Arial" w:cs="Arial" w:hAnsi="Arial"/>
          <w:sz w:val="22"/>
        </w:rPr>
        <w:t>：总功率 = ∫f(PSD)df → 单位：ms²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临床价值</w:t>
      </w:r>
      <w:r>
        <w:rPr>
          <w:rFonts w:eastAsia="等线" w:ascii="Arial" w:cs="Arial" w:hAnsi="Arial"/>
          <w:sz w:val="22"/>
        </w:rPr>
        <w:t>：LF功率反映交感+迷走神经平衡，HF功率反映纯迷走神经活性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933700" cy="1304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2.5.2 边界精确处理的共识必要性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您的边界插值处理是</w:t>
      </w:r>
      <w:r>
        <w:rPr>
          <w:rFonts w:eastAsia="等线" w:ascii="Arial" w:cs="Arial" w:hAnsi="Arial"/>
          <w:b w:val="true"/>
          <w:sz w:val="22"/>
        </w:rPr>
        <w:t>临床精度的关键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// 边界频率不对准FFT采样点时的精确处理const p0 = psd[i] * (1.0 - (aF - f0) / (f1 - f0))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+ psd[i+1] * ((aF - f0) / (f1 - f0));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共识依据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频率分辨率限制</w:t>
      </w:r>
      <w:r>
        <w:rPr>
          <w:rFonts w:eastAsia="等线" w:ascii="Arial" w:cs="Arial" w:hAnsi="Arial"/>
          <w:sz w:val="22"/>
        </w:rPr>
        <w:t>：FFT的频率分辨率Δf = 采样率/点数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频段边界对齐</w:t>
      </w:r>
      <w:r>
        <w:rPr>
          <w:rFonts w:eastAsia="等线" w:ascii="Arial" w:cs="Arial" w:hAnsi="Arial"/>
          <w:sz w:val="22"/>
        </w:rPr>
        <w:t>：LF=0.04-0.15Hz可能不正好落在FFT频率点上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避免计算误差</w:t>
      </w:r>
      <w:r>
        <w:rPr>
          <w:rFonts w:eastAsia="等线" w:ascii="Arial" w:cs="Arial" w:hAnsi="Arial"/>
          <w:sz w:val="22"/>
        </w:rPr>
        <w:t>：简单的"最近点"近似会导致</w:t>
      </w:r>
      <w:r>
        <w:rPr>
          <w:rFonts w:eastAsia="等线" w:ascii="Arial" w:cs="Arial" w:hAnsi="Arial"/>
          <w:b w:val="true"/>
          <w:sz w:val="22"/>
        </w:rPr>
        <w:t>边界功率丢失或增益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（您的注释完全正确）：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频段：[0.04, 0.15] Hz (LF)</w:t>
              <w:br/>
              <w:t>FFT采样：[0.035, 0.043, 0.051, ..., 0.147, 0.155] Hz</w:t>
              <w:br/>
            </w:r>
            <w:r>
              <w:rPr>
                <w:rFonts w:eastAsia="Consolas" w:ascii="Consolas" w:cs="Consolas" w:hAnsi="Consolas"/>
                <w:sz w:val="22"/>
              </w:rPr>
              <w:t>→ 必须对0.04Hz和0.15Hz处进行线性插值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三、梯形积分法 vs 其他方法的共识视角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共识推荐的积分方法比较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您的选择理由完全符合共识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精度足够</w:t>
      </w:r>
      <w:r>
        <w:rPr>
          <w:rFonts w:eastAsia="等线" w:ascii="Arial" w:cs="Arial" w:hAnsi="Arial"/>
          <w:sz w:val="22"/>
        </w:rPr>
        <w:t>：梯形法对HRV的平滑PSD曲线精度满足临床需求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计算高效</w:t>
      </w:r>
      <w:r>
        <w:rPr>
          <w:rFonts w:eastAsia="等线" w:ascii="Arial" w:cs="Arial" w:hAnsi="Arial"/>
          <w:sz w:val="22"/>
        </w:rPr>
        <w:t>：O(n)复杂度适合实时分析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实现稳定</w:t>
      </w:r>
      <w:r>
        <w:rPr>
          <w:rFonts w:eastAsia="等线" w:ascii="Arial" w:cs="Arial" w:hAnsi="Arial"/>
          <w:sz w:val="22"/>
        </w:rPr>
        <w:t>：避免Simpson法对振荡曲线的数值不稳定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四、频段定义的共识标准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您的实现需要严格遵循共识的频段边界：</w:t>
      </w:r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五、临床应用的共识要求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1996年ESC共识明确要求报告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绝对功率</w:t>
      </w:r>
      <w:r>
        <w:rPr>
          <w:rFonts w:eastAsia="等线" w:ascii="Arial" w:cs="Arial" w:hAnsi="Arial"/>
          <w:sz w:val="22"/>
        </w:rPr>
        <w:t>：LF（ms²）、HF（ms²）、TP（ms²）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相对功率</w:t>
      </w:r>
      <w:r>
        <w:rPr>
          <w:rFonts w:eastAsia="等线" w:ascii="Arial" w:cs="Arial" w:hAnsi="Arial"/>
          <w:sz w:val="22"/>
        </w:rPr>
        <w:t>：LFnu = LF/(TP-VLF)、HFnu = HF/(TP-VLF)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比值</w:t>
      </w:r>
      <w:r>
        <w:rPr>
          <w:rFonts w:eastAsia="等线" w:ascii="Arial" w:cs="Arial" w:hAnsi="Arial"/>
          <w:sz w:val="22"/>
        </w:rPr>
        <w:t>：LF/HF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</w:t>
      </w:r>
      <w:r>
        <w:rPr>
          <w:rFonts w:eastAsia="Consolas" w:ascii="Consolas" w:cs="Consolas" w:hAnsi="Consolas"/>
          <w:sz w:val="22"/>
          <w:shd w:fill="EFF0F1"/>
        </w:rPr>
        <w:t>bandPower</w:t>
      </w:r>
      <w:r>
        <w:rPr>
          <w:rFonts w:eastAsia="等线" w:ascii="Arial" w:cs="Arial" w:hAnsi="Arial"/>
          <w:sz w:val="22"/>
        </w:rPr>
        <w:t>函数正是计算这些</w:t>
      </w:r>
      <w:r>
        <w:rPr>
          <w:rFonts w:eastAsia="等线" w:ascii="Arial" w:cs="Arial" w:hAnsi="Arial"/>
          <w:b w:val="true"/>
          <w:sz w:val="22"/>
        </w:rPr>
        <w:t>共识强制要求参数</w:t>
      </w:r>
      <w:r>
        <w:rPr>
          <w:rFonts w:eastAsia="等线" w:ascii="Arial" w:cs="Arial" w:hAnsi="Arial"/>
          <w:sz w:val="22"/>
        </w:rPr>
        <w:t>的数学基础。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总结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您的梯形积分法实现与专家共识高度吻合。</w:t>
      </w:r>
      <w:r>
        <w:rPr>
          <w:rFonts w:eastAsia="等线" w:ascii="Arial" w:cs="Arial" w:hAnsi="Arial"/>
          <w:sz w:val="22"/>
        </w:rPr>
        <w:t xml:space="preserve"> 这不仅是一个数学工具函数，而是HRV频域分析</w:t>
      </w:r>
      <w:r>
        <w:rPr>
          <w:rFonts w:eastAsia="等线" w:ascii="Arial" w:cs="Arial" w:hAnsi="Arial"/>
          <w:b w:val="true"/>
          <w:sz w:val="22"/>
        </w:rPr>
        <w:t>标准化流程的核心组成部分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简而言之：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梯形积分法</w:t>
      </w:r>
      <w:r>
        <w:rPr>
          <w:rFonts w:eastAsia="等线" w:ascii="Arial" w:cs="Arial" w:hAnsi="Arial"/>
          <w:sz w:val="22"/>
        </w:rPr>
        <w:t xml:space="preserve"> → 共识推荐的频段功率计算方法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边界插值</w:t>
      </w:r>
      <w:r>
        <w:rPr>
          <w:rFonts w:eastAsia="等线" w:ascii="Arial" w:cs="Arial" w:hAnsi="Arial"/>
          <w:sz w:val="22"/>
        </w:rPr>
        <w:t xml:space="preserve"> → 确保频段边界精确对齐的临床精度要求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您的实现</w:t>
      </w:r>
      <w:r>
        <w:rPr>
          <w:rFonts w:eastAsia="等线" w:ascii="Arial" w:cs="Arial" w:hAnsi="Arial"/>
          <w:sz w:val="22"/>
        </w:rPr>
        <w:t xml:space="preserve"> → 完全符合1996年ESC/NASPE共识的规范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这套频段功率积分算法确保了HRV频域参数的计算符合国际标准，结果具有临床可比性和诊断价值，是专业级HRV分析系统的必备组件。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70910">
    <w:lvl>
      <w:start w:val="1"/>
      <w:numFmt w:val="decimal"/>
      <w:suff w:val="tab"/>
      <w:lvlText w:val="%1."/>
      <w:rPr>
        <w:color w:val="3370ff"/>
      </w:rPr>
    </w:lvl>
  </w:abstractNum>
  <w:abstractNum w:abstractNumId="2770911">
    <w:lvl>
      <w:start w:val="2"/>
      <w:numFmt w:val="decimal"/>
      <w:suff w:val="tab"/>
      <w:lvlText w:val="%1."/>
      <w:rPr>
        <w:color w:val="3370ff"/>
      </w:rPr>
    </w:lvl>
  </w:abstractNum>
  <w:abstractNum w:abstractNumId="2770912">
    <w:lvl>
      <w:numFmt w:val="bullet"/>
      <w:suff w:val="tab"/>
      <w:lvlText w:val="￮"/>
      <w:rPr>
        <w:color w:val="3370ff"/>
      </w:rPr>
    </w:lvl>
  </w:abstractNum>
  <w:abstractNum w:abstractNumId="2770913">
    <w:lvl>
      <w:start w:val="3"/>
      <w:numFmt w:val="decimal"/>
      <w:suff w:val="tab"/>
      <w:lvlText w:val="%1."/>
      <w:rPr>
        <w:color w:val="3370ff"/>
      </w:rPr>
    </w:lvl>
  </w:abstractNum>
  <w:abstractNum w:abstractNumId="2770914">
    <w:lvl>
      <w:numFmt w:val="bullet"/>
      <w:suff w:val="tab"/>
      <w:lvlText w:val="￮"/>
      <w:rPr>
        <w:color w:val="3370ff"/>
      </w:rPr>
    </w:lvl>
  </w:abstractNum>
  <w:abstractNum w:abstractNumId="2770915">
    <w:lvl>
      <w:numFmt w:val="bullet"/>
      <w:suff w:val="tab"/>
      <w:lvlText w:val="•"/>
      <w:rPr>
        <w:color w:val="3370ff"/>
      </w:rPr>
    </w:lvl>
  </w:abstractNum>
  <w:abstractNum w:abstractNumId="2770916">
    <w:lvl>
      <w:numFmt w:val="bullet"/>
      <w:suff w:val="tab"/>
      <w:lvlText w:val="•"/>
      <w:rPr>
        <w:color w:val="3370ff"/>
      </w:rPr>
    </w:lvl>
  </w:abstractNum>
  <w:abstractNum w:abstractNumId="2770917">
    <w:lvl>
      <w:numFmt w:val="bullet"/>
      <w:suff w:val="tab"/>
      <w:lvlText w:val="•"/>
      <w:rPr>
        <w:color w:val="3370ff"/>
      </w:rPr>
    </w:lvl>
  </w:abstractNum>
  <w:abstractNum w:abstractNumId="2770918">
    <w:lvl>
      <w:numFmt w:val="bullet"/>
      <w:suff w:val="tab"/>
      <w:lvlText w:val="•"/>
      <w:rPr>
        <w:color w:val="3370ff"/>
      </w:rPr>
    </w:lvl>
  </w:abstractNum>
  <w:abstractNum w:abstractNumId="2770919">
    <w:lvl>
      <w:numFmt w:val="bullet"/>
      <w:suff w:val="tab"/>
      <w:lvlText w:val="•"/>
      <w:rPr>
        <w:color w:val="3370ff"/>
      </w:rPr>
    </w:lvl>
  </w:abstractNum>
  <w:abstractNum w:abstractNumId="2770920">
    <w:lvl>
      <w:numFmt w:val="bullet"/>
      <w:suff w:val="tab"/>
      <w:lvlText w:val="•"/>
      <w:rPr>
        <w:color w:val="3370ff"/>
      </w:rPr>
    </w:lvl>
  </w:abstractNum>
  <w:abstractNum w:abstractNumId="2770921">
    <w:lvl>
      <w:numFmt w:val="bullet"/>
      <w:suff w:val="tab"/>
      <w:lvlText w:val="•"/>
      <w:rPr>
        <w:color w:val="3370ff"/>
      </w:rPr>
    </w:lvl>
  </w:abstractNum>
  <w:abstractNum w:abstractNumId="2770922">
    <w:lvl>
      <w:numFmt w:val="bullet"/>
      <w:suff w:val="tab"/>
      <w:lvlText w:val="•"/>
      <w:rPr>
        <w:color w:val="3370ff"/>
      </w:rPr>
    </w:lvl>
  </w:abstractNum>
  <w:abstractNum w:abstractNumId="2770923">
    <w:lvl>
      <w:numFmt w:val="bullet"/>
      <w:suff w:val="tab"/>
      <w:lvlText w:val="•"/>
      <w:rPr>
        <w:color w:val="3370ff"/>
      </w:rPr>
    </w:lvl>
  </w:abstractNum>
  <w:abstractNum w:abstractNumId="2770924">
    <w:lvl>
      <w:numFmt w:val="bullet"/>
      <w:suff w:val="tab"/>
      <w:lvlText w:val="•"/>
      <w:rPr>
        <w:color w:val="3370ff"/>
      </w:rPr>
    </w:lvl>
  </w:abstractNum>
  <w:abstractNum w:abstractNumId="2770925">
    <w:lvl>
      <w:numFmt w:val="bullet"/>
      <w:suff w:val="tab"/>
      <w:lvlText w:val="•"/>
      <w:rPr>
        <w:color w:val="3370ff"/>
      </w:rPr>
    </w:lvl>
  </w:abstractNum>
  <w:abstractNum w:abstractNumId="2770926">
    <w:lvl>
      <w:numFmt w:val="bullet"/>
      <w:suff w:val="tab"/>
      <w:lvlText w:val="•"/>
      <w:rPr>
        <w:color w:val="3370ff"/>
      </w:rPr>
    </w:lvl>
  </w:abstractNum>
  <w:abstractNum w:abstractNumId="2770927">
    <w:lvl>
      <w:numFmt w:val="bullet"/>
      <w:suff w:val="tab"/>
      <w:lvlText w:val="•"/>
      <w:rPr>
        <w:color w:val="3370ff"/>
      </w:rPr>
    </w:lvl>
  </w:abstractNum>
  <w:abstractNum w:abstractNumId="2770928">
    <w:lvl>
      <w:numFmt w:val="bullet"/>
      <w:suff w:val="tab"/>
      <w:lvlText w:val="•"/>
      <w:rPr>
        <w:color w:val="3370ff"/>
      </w:rPr>
    </w:lvl>
  </w:abstractNum>
  <w:abstractNum w:abstractNumId="2770929">
    <w:lvl>
      <w:numFmt w:val="bullet"/>
      <w:suff w:val="tab"/>
      <w:lvlText w:val="•"/>
      <w:rPr>
        <w:color w:val="3370ff"/>
      </w:rPr>
    </w:lvl>
  </w:abstractNum>
  <w:num w:numId="1">
    <w:abstractNumId w:val="2770910"/>
  </w:num>
  <w:num w:numId="2">
    <w:abstractNumId w:val="2770911"/>
  </w:num>
  <w:num w:numId="3">
    <w:abstractNumId w:val="2770912"/>
  </w:num>
  <w:num w:numId="4">
    <w:abstractNumId w:val="2770913"/>
  </w:num>
  <w:num w:numId="5">
    <w:abstractNumId w:val="2770914"/>
  </w:num>
  <w:num w:numId="6">
    <w:abstractNumId w:val="2770915"/>
  </w:num>
  <w:num w:numId="7">
    <w:abstractNumId w:val="2770916"/>
  </w:num>
  <w:num w:numId="8">
    <w:abstractNumId w:val="2770917"/>
  </w:num>
  <w:num w:numId="9">
    <w:abstractNumId w:val="2770918"/>
  </w:num>
  <w:num w:numId="10">
    <w:abstractNumId w:val="2770919"/>
  </w:num>
  <w:num w:numId="11">
    <w:abstractNumId w:val="2770920"/>
  </w:num>
  <w:num w:numId="12">
    <w:abstractNumId w:val="2770921"/>
  </w:num>
  <w:num w:numId="13">
    <w:abstractNumId w:val="2770922"/>
  </w:num>
  <w:num w:numId="14">
    <w:abstractNumId w:val="2770923"/>
  </w:num>
  <w:num w:numId="15">
    <w:abstractNumId w:val="2770924"/>
  </w:num>
  <w:num w:numId="16">
    <w:abstractNumId w:val="2770925"/>
  </w:num>
  <w:num w:numId="17">
    <w:abstractNumId w:val="2770926"/>
  </w:num>
  <w:num w:numId="18">
    <w:abstractNumId w:val="2770927"/>
  </w:num>
  <w:num w:numId="19">
    <w:abstractNumId w:val="2770928"/>
  </w:num>
  <w:num w:numId="20">
    <w:abstractNumId w:val="27709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5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M4Eawk5gCiXxo1kboFUczpQWnmg#share-Xx3IdyklloEM3ZxVADecswMdnG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2025-12-30T09:29:54Z</dcterms:created>
  <dc:creator>Apache POI</dc:creator>
</cp:coreProperties>
</file>