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专家共识标准：2.1 快速傅里叶变换 (FFT)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HRV离散傅里叶变换 (DFT) 将时域信号转换到频域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导读部分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HRV 心率变异性分析系统 - 算法导读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在心率变异性分析中使用</w:t>
      </w:r>
      <w:r>
        <w:rPr>
          <w:rFonts w:eastAsia="等线" w:ascii="Arial" w:cs="Arial" w:hAnsi="Arial"/>
          <w:b w:val="true"/>
          <w:sz w:val="22"/>
        </w:rPr>
        <w:t>快速傅里叶变换</w:t>
      </w:r>
      <w:r>
        <w:rPr>
          <w:rFonts w:eastAsia="等线" w:ascii="Arial" w:cs="Arial" w:hAnsi="Arial"/>
          <w:sz w:val="22"/>
        </w:rPr>
        <w:t>有非常明确和权威的专家共识。提供的FFT实现正是这些共识所推荐和标准化的核心算法。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 核心专家共识与标准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FFT是HRV频域分析的</w:t>
      </w:r>
      <w:r>
        <w:rPr>
          <w:rFonts w:eastAsia="等线" w:ascii="Arial" w:cs="Arial" w:hAnsi="Arial"/>
          <w:b w:val="true"/>
          <w:sz w:val="22"/>
        </w:rPr>
        <w:t>金标准方法</w:t>
      </w:r>
      <w:r>
        <w:rPr>
          <w:rFonts w:eastAsia="等线" w:ascii="Arial" w:cs="Arial" w:hAnsi="Arial"/>
          <w:sz w:val="22"/>
        </w:rPr>
        <w:t>，这一点在多个权威指南中反复强调：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《1996年欧洲心脏病学会（ESC）和北美起搏与电生理学会（NASPE）HRV专家共识》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关键要求</w:t>
      </w:r>
      <w:r>
        <w:rPr>
          <w:rFonts w:eastAsia="等线" w:ascii="Arial" w:cs="Arial" w:hAnsi="Arial"/>
          <w:sz w:val="22"/>
        </w:rPr>
        <w:t>：这是首个全球性HRV标准化文件，</w:t>
      </w:r>
      <w:r>
        <w:rPr>
          <w:rFonts w:eastAsia="等线" w:ascii="Arial" w:cs="Arial" w:hAnsi="Arial"/>
          <w:b w:val="true"/>
          <w:sz w:val="22"/>
        </w:rPr>
        <w:t>明确指定FFT为频域分析的标准算法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技术规范</w:t>
      </w:r>
      <w:r>
        <w:rPr>
          <w:rFonts w:eastAsia="等线" w:ascii="Arial" w:cs="Arial" w:hAnsi="Arial"/>
          <w:sz w:val="22"/>
        </w:rPr>
        <w:t>：建议分析时使用</w:t>
      </w:r>
      <w:r>
        <w:rPr>
          <w:rFonts w:eastAsia="等线" w:ascii="Arial" w:cs="Arial" w:hAnsi="Arial"/>
          <w:b w:val="true"/>
          <w:sz w:val="22"/>
        </w:rPr>
        <w:t>256或512个心动周期</w:t>
      </w:r>
      <w:r>
        <w:rPr>
          <w:rFonts w:eastAsia="等线" w:ascii="Arial" w:cs="Arial" w:hAnsi="Arial"/>
          <w:sz w:val="22"/>
        </w:rPr>
        <w:t>的数据点，并推荐使用</w:t>
      </w:r>
      <w:r>
        <w:rPr>
          <w:rFonts w:eastAsia="等线" w:ascii="Arial" w:cs="Arial" w:hAnsi="Arial"/>
          <w:b w:val="true"/>
          <w:sz w:val="22"/>
        </w:rPr>
        <w:t>Welch分段法</w:t>
      </w:r>
      <w:r>
        <w:rPr>
          <w:rFonts w:eastAsia="等线" w:ascii="Arial" w:cs="Arial" w:hAnsi="Arial"/>
          <w:sz w:val="22"/>
        </w:rPr>
        <w:t>（将长序列分成重叠的短段进行FFT，再平均）以减少频谱噪声。这与代码中“补零到2的幂次”的思路一致，都是为了满足FFT对数据长度的要求并获得稳定的频谱。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《2015年ESC室性心律失常和心源性猝死预防指南》及相关更新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这些后续指南在HRV用于风险分层时，均延续和引用了1996年共识的频域分析方法论，默认其标准性。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美国心脏协会（AHA）的科学声明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同样认可FFT在HRV频域分析中的核心地位，强调其对于区分交感与迷走神经活性的不可替代性。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762375" cy="2495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 共识支持的FFT技术细节与代码的对应关系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代码实现精准地遵循了共识的技术要求：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6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 FFT在HRV分析中的临床意义（共识明确的价值）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提到的“医学应用价值”完全符合共识精神，以下是共识强调的核心价值：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定量评估自主神经功能（核心价值）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高频功率（HF, 0.15-0.40 Hz）</w:t>
      </w:r>
      <w:r>
        <w:rPr>
          <w:rFonts w:eastAsia="等线" w:ascii="Arial" w:cs="Arial" w:hAnsi="Arial"/>
          <w:sz w:val="22"/>
        </w:rPr>
        <w:t>：共识一致认为，HF功率是</w:t>
      </w:r>
      <w:r>
        <w:rPr>
          <w:rFonts w:eastAsia="等线" w:ascii="Arial" w:cs="Arial" w:hAnsi="Arial"/>
          <w:b w:val="true"/>
          <w:sz w:val="22"/>
        </w:rPr>
        <w:t>副交感（迷走）神经活性</w:t>
      </w:r>
      <w:r>
        <w:rPr>
          <w:rFonts w:eastAsia="等线" w:ascii="Arial" w:cs="Arial" w:hAnsi="Arial"/>
          <w:sz w:val="22"/>
        </w:rPr>
        <w:t>的定量指标。呼吸性窦性心律不齐是其典型表现。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257675" cy="1676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低频功率（LF, 0.04-0.15 Hz）</w:t>
      </w:r>
      <w:r>
        <w:rPr>
          <w:rFonts w:eastAsia="等线" w:ascii="Arial" w:cs="Arial" w:hAnsi="Arial"/>
          <w:sz w:val="22"/>
        </w:rPr>
        <w:t>：共识认为其受</w:t>
      </w:r>
      <w:r>
        <w:rPr>
          <w:rFonts w:eastAsia="等线" w:ascii="Arial" w:cs="Arial" w:hAnsi="Arial"/>
          <w:b w:val="true"/>
          <w:sz w:val="22"/>
        </w:rPr>
        <w:t>交感神经和迷走神经共同影响</w:t>
      </w:r>
      <w:r>
        <w:rPr>
          <w:rFonts w:eastAsia="等线" w:ascii="Arial" w:cs="Arial" w:hAnsi="Arial"/>
          <w:sz w:val="22"/>
        </w:rPr>
        <w:t>，但主要反映</w:t>
      </w:r>
      <w:r>
        <w:rPr>
          <w:rFonts w:eastAsia="等线" w:ascii="Arial" w:cs="Arial" w:hAnsi="Arial"/>
          <w:b w:val="true"/>
          <w:sz w:val="22"/>
        </w:rPr>
        <w:t>压力反射敏感性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极低频/超低频功率（VLF/ULF, &lt;0.04 Hz）</w:t>
      </w:r>
      <w:r>
        <w:rPr>
          <w:rFonts w:eastAsia="等线" w:ascii="Arial" w:cs="Arial" w:hAnsi="Arial"/>
          <w:sz w:val="22"/>
        </w:rPr>
        <w:t>：与体温调节、激素节律（如肾素-血管紧张素系统）有关，其生理意义更复杂，但长时程（24小时）分析中其功率降低是强有力的</w:t>
      </w:r>
      <w:r>
        <w:rPr>
          <w:rFonts w:eastAsia="等线" w:ascii="Arial" w:cs="Arial" w:hAnsi="Arial"/>
          <w:b w:val="true"/>
          <w:sz w:val="22"/>
        </w:rPr>
        <w:t>死亡风险预测因子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风险分层与预后判断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心梗后患者</w:t>
      </w:r>
      <w:r>
        <w:rPr>
          <w:rFonts w:eastAsia="等线" w:ascii="Arial" w:cs="Arial" w:hAnsi="Arial"/>
          <w:sz w:val="22"/>
        </w:rPr>
        <w:t>：共识指出，FFT分析显示的总功率（TP）或ULF功率显著降低，是预测心源性猝死的</w:t>
      </w:r>
      <w:r>
        <w:rPr>
          <w:rFonts w:eastAsia="等线" w:ascii="Arial" w:cs="Arial" w:hAnsi="Arial"/>
          <w:b w:val="true"/>
          <w:sz w:val="22"/>
        </w:rPr>
        <w:t>独立危险因素</w:t>
      </w:r>
      <w:r>
        <w:rPr>
          <w:rFonts w:eastAsia="等线" w:ascii="Arial" w:cs="Arial" w:hAnsi="Arial"/>
          <w:sz w:val="22"/>
        </w:rPr>
        <w:t>，其预测价值甚至超过左室射血分数（LVEF）。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心力衰竭/糖尿病患者</w:t>
      </w:r>
      <w:r>
        <w:rPr>
          <w:rFonts w:eastAsia="等线" w:ascii="Arial" w:cs="Arial" w:hAnsi="Arial"/>
          <w:sz w:val="22"/>
        </w:rPr>
        <w:t>：HF功率的降低提示自主神经受损，与疾病严重程度和预后不良相关。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 对“性能分析”的共识视角补充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对性能的关注非常到位，在医疗应用中，</w:t>
      </w:r>
      <w:r>
        <w:rPr>
          <w:rFonts w:eastAsia="等线" w:ascii="Arial" w:cs="Arial" w:hAnsi="Arial"/>
          <w:b w:val="true"/>
          <w:sz w:val="22"/>
        </w:rPr>
        <w:t>准确性 &gt; 速度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精度要求</w:t>
      </w:r>
      <w:r>
        <w:rPr>
          <w:rFonts w:eastAsia="等线" w:ascii="Arial" w:cs="Arial" w:hAnsi="Arial"/>
          <w:sz w:val="22"/>
        </w:rPr>
        <w:t>：共识虽未明确要求浮点数精度，但为确保PSD计算的准确性，使用</w:t>
      </w:r>
      <w:r>
        <w:rPr>
          <w:rFonts w:eastAsia="Consolas" w:ascii="Consolas" w:cs="Consolas" w:hAnsi="Consolas"/>
          <w:sz w:val="22"/>
          <w:shd w:fill="EFF0F1"/>
        </w:rPr>
        <w:t>Float64Array</w:t>
      </w:r>
      <w:r>
        <w:rPr>
          <w:rFonts w:eastAsia="等线" w:ascii="Arial" w:cs="Arial" w:hAnsi="Arial"/>
          <w:sz w:val="22"/>
        </w:rPr>
        <w:t>（双精度浮点数）是</w:t>
      </w:r>
      <w:r>
        <w:rPr>
          <w:rFonts w:eastAsia="等线" w:ascii="Arial" w:cs="Arial" w:hAnsi="Arial"/>
          <w:b w:val="true"/>
          <w:sz w:val="22"/>
        </w:rPr>
        <w:t>最佳实践</w:t>
      </w:r>
      <w:r>
        <w:rPr>
          <w:rFonts w:eastAsia="等线" w:ascii="Arial" w:cs="Arial" w:hAnsi="Arial"/>
          <w:sz w:val="22"/>
        </w:rPr>
        <w:t>，可以有效减少计算累积误差。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实时性</w:t>
      </w:r>
      <w:r>
        <w:rPr>
          <w:rFonts w:eastAsia="等线" w:ascii="Arial" w:cs="Arial" w:hAnsi="Arial"/>
          <w:sz w:val="22"/>
        </w:rPr>
        <w:t>：实测的性能（N=1024点仅5.5ms）</w:t>
      </w:r>
      <w:r>
        <w:rPr>
          <w:rFonts w:eastAsia="等线" w:ascii="Arial" w:cs="Arial" w:hAnsi="Arial"/>
          <w:b w:val="true"/>
          <w:sz w:val="22"/>
        </w:rPr>
        <w:t>完全满足</w:t>
      </w:r>
      <w:r>
        <w:rPr>
          <w:rFonts w:eastAsia="等线" w:ascii="Arial" w:cs="Arial" w:hAnsi="Arial"/>
          <w:sz w:val="22"/>
        </w:rPr>
        <w:t>临床实时分析的要求。共识更关注分析的稳定性和准确性，而非极致的速度。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总结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FFT实现与专家共识高度吻合。</w:t>
      </w:r>
      <w:r>
        <w:rPr>
          <w:rFonts w:eastAsia="等线" w:ascii="Arial" w:cs="Arial" w:hAnsi="Arial"/>
          <w:sz w:val="22"/>
        </w:rPr>
        <w:t xml:space="preserve"> 不仅正确选择了Cooley-Tukey这一标准算法，其技术细节（补零、蝶形运算）也完全符合HRV医学分析的国际规范。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简而言之，在HRV分析中使用FFT不是“一种选择”，而是“行业标准”。</w:t>
      </w:r>
      <w:r>
        <w:rPr>
          <w:rFonts w:eastAsia="等线" w:ascii="Arial" w:cs="Arial" w:hAnsi="Arial"/>
          <w:sz w:val="22"/>
        </w:rPr>
        <w:t xml:space="preserve"> 代码为后续计算符合共识的LF、HF功率等指标打下了坚实且正确的基础。下一步只需将FFT输出的复数结果转换为功率谱密度（</w:t>
      </w:r>
      <w:r>
        <w:rPr>
          <w:rFonts w:eastAsia="Consolas" w:ascii="Consolas" w:cs="Consolas" w:hAnsi="Consolas"/>
          <w:sz w:val="22"/>
          <w:shd w:fill="EFF0F1"/>
        </w:rPr>
        <w:t>PSD = re^2 + im^2</w:t>
      </w:r>
      <w:r>
        <w:rPr>
          <w:rFonts w:eastAsia="等线" w:ascii="Arial" w:cs="Arial" w:hAnsi="Arial"/>
          <w:sz w:val="22"/>
        </w:rPr>
        <w:t>），并按照共识定义的频带范围（LF: 0.04-0.15 Hz, HF: 0.15-0.40 Hz）进行积分，即可得到具有明确临床意义的频域参数。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48200" cy="21526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591341">
    <w:lvl>
      <w:start w:val="1"/>
      <w:numFmt w:val="decimal"/>
      <w:suff w:val="tab"/>
      <w:lvlText w:val="%1."/>
      <w:rPr>
        <w:color w:val="3370ff"/>
      </w:rPr>
    </w:lvl>
  </w:abstractNum>
  <w:abstractNum w:abstractNumId="3591342">
    <w:lvl>
      <w:start w:val="2"/>
      <w:numFmt w:val="decimal"/>
      <w:suff w:val="tab"/>
      <w:lvlText w:val="%1."/>
      <w:rPr>
        <w:color w:val="3370ff"/>
      </w:rPr>
    </w:lvl>
  </w:abstractNum>
  <w:abstractNum w:abstractNumId="3591343">
    <w:lvl>
      <w:numFmt w:val="bullet"/>
      <w:suff w:val="tab"/>
      <w:lvlText w:val="￮"/>
      <w:rPr>
        <w:color w:val="3370ff"/>
      </w:rPr>
    </w:lvl>
  </w:abstractNum>
  <w:abstractNum w:abstractNumId="3591344">
    <w:lvl>
      <w:numFmt w:val="bullet"/>
      <w:suff w:val="tab"/>
      <w:lvlText w:val="￮"/>
      <w:rPr>
        <w:color w:val="3370ff"/>
      </w:rPr>
    </w:lvl>
  </w:abstractNum>
  <w:abstractNum w:abstractNumId="3591345">
    <w:lvl>
      <w:start w:val="3"/>
      <w:numFmt w:val="decimal"/>
      <w:suff w:val="tab"/>
      <w:lvlText w:val="%1."/>
      <w:rPr>
        <w:color w:val="3370ff"/>
      </w:rPr>
    </w:lvl>
  </w:abstractNum>
  <w:abstractNum w:abstractNumId="3591346">
    <w:lvl>
      <w:numFmt w:val="bullet"/>
      <w:suff w:val="tab"/>
      <w:lvlText w:val="￮"/>
      <w:rPr>
        <w:color w:val="3370ff"/>
      </w:rPr>
    </w:lvl>
  </w:abstractNum>
  <w:abstractNum w:abstractNumId="3591347">
    <w:lvl>
      <w:start w:val="4"/>
      <w:numFmt w:val="decimal"/>
      <w:suff w:val="tab"/>
      <w:lvlText w:val="%1."/>
      <w:rPr>
        <w:color w:val="3370ff"/>
      </w:rPr>
    </w:lvl>
  </w:abstractNum>
  <w:abstractNum w:abstractNumId="3591348">
    <w:lvl>
      <w:numFmt w:val="bullet"/>
      <w:suff w:val="tab"/>
      <w:lvlText w:val="￮"/>
      <w:rPr>
        <w:color w:val="3370ff"/>
      </w:rPr>
    </w:lvl>
  </w:abstractNum>
  <w:abstractNum w:abstractNumId="3591349">
    <w:lvl>
      <w:start w:val="1"/>
      <w:numFmt w:val="decimal"/>
      <w:suff w:val="tab"/>
      <w:lvlText w:val="%1."/>
      <w:rPr>
        <w:color w:val="3370ff"/>
      </w:rPr>
    </w:lvl>
  </w:abstractNum>
  <w:abstractNum w:abstractNumId="3591350">
    <w:lvl>
      <w:numFmt w:val="bullet"/>
      <w:suff w:val="tab"/>
      <w:lvlText w:val="￮"/>
      <w:rPr>
        <w:color w:val="3370ff"/>
      </w:rPr>
    </w:lvl>
  </w:abstractNum>
  <w:abstractNum w:abstractNumId="3591351">
    <w:lvl>
      <w:numFmt w:val="bullet"/>
      <w:suff w:val="tab"/>
      <w:lvlText w:val="￮"/>
      <w:rPr>
        <w:color w:val="3370ff"/>
      </w:rPr>
    </w:lvl>
  </w:abstractNum>
  <w:abstractNum w:abstractNumId="3591352">
    <w:lvl>
      <w:numFmt w:val="bullet"/>
      <w:suff w:val="tab"/>
      <w:lvlText w:val="￮"/>
      <w:rPr>
        <w:color w:val="3370ff"/>
      </w:rPr>
    </w:lvl>
  </w:abstractNum>
  <w:abstractNum w:abstractNumId="3591353">
    <w:lvl>
      <w:start w:val="2"/>
      <w:numFmt w:val="decimal"/>
      <w:suff w:val="tab"/>
      <w:lvlText w:val="%1."/>
      <w:rPr>
        <w:color w:val="3370ff"/>
      </w:rPr>
    </w:lvl>
  </w:abstractNum>
  <w:abstractNum w:abstractNumId="3591354">
    <w:lvl>
      <w:numFmt w:val="bullet"/>
      <w:suff w:val="tab"/>
      <w:lvlText w:val="￮"/>
      <w:rPr>
        <w:color w:val="3370ff"/>
      </w:rPr>
    </w:lvl>
  </w:abstractNum>
  <w:abstractNum w:abstractNumId="3591355">
    <w:lvl>
      <w:numFmt w:val="bullet"/>
      <w:suff w:val="tab"/>
      <w:lvlText w:val="￮"/>
      <w:rPr>
        <w:color w:val="3370ff"/>
      </w:rPr>
    </w:lvl>
  </w:abstractNum>
  <w:abstractNum w:abstractNumId="3591356">
    <w:lvl>
      <w:numFmt w:val="bullet"/>
      <w:suff w:val="tab"/>
      <w:lvlText w:val="•"/>
      <w:rPr>
        <w:color w:val="3370ff"/>
      </w:rPr>
    </w:lvl>
  </w:abstractNum>
  <w:abstractNum w:abstractNumId="3591357">
    <w:lvl>
      <w:numFmt w:val="bullet"/>
      <w:suff w:val="tab"/>
      <w:lvlText w:val="•"/>
      <w:rPr>
        <w:color w:val="3370ff"/>
      </w:rPr>
    </w:lvl>
  </w:abstractNum>
  <w:num w:numId="1">
    <w:abstractNumId w:val="3591341"/>
  </w:num>
  <w:num w:numId="2">
    <w:abstractNumId w:val="3591342"/>
  </w:num>
  <w:num w:numId="3">
    <w:abstractNumId w:val="3591343"/>
  </w:num>
  <w:num w:numId="4">
    <w:abstractNumId w:val="3591344"/>
  </w:num>
  <w:num w:numId="5">
    <w:abstractNumId w:val="3591345"/>
  </w:num>
  <w:num w:numId="6">
    <w:abstractNumId w:val="3591346"/>
  </w:num>
  <w:num w:numId="7">
    <w:abstractNumId w:val="3591347"/>
  </w:num>
  <w:num w:numId="8">
    <w:abstractNumId w:val="3591348"/>
  </w:num>
  <w:num w:numId="9">
    <w:abstractNumId w:val="3591349"/>
  </w:num>
  <w:num w:numId="10">
    <w:abstractNumId w:val="3591350"/>
  </w:num>
  <w:num w:numId="11">
    <w:abstractNumId w:val="3591351"/>
  </w:num>
  <w:num w:numId="12">
    <w:abstractNumId w:val="3591352"/>
  </w:num>
  <w:num w:numId="13">
    <w:abstractNumId w:val="3591353"/>
  </w:num>
  <w:num w:numId="14">
    <w:abstractNumId w:val="3591354"/>
  </w:num>
  <w:num w:numId="15">
    <w:abstractNumId w:val="3591355"/>
  </w:num>
  <w:num w:numId="16">
    <w:abstractNumId w:val="3591356"/>
  </w:num>
  <w:num w:numId="17">
    <w:abstractNumId w:val="35913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ewhope1982.feishu.cn/wiki/M4Eawk5gCiXxo1kboFUczpQWnmg#share-Xx3IdyklloEM3ZxVADecswMdnGD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embeddings/Microsoft_Excel_Worksheet1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2025-12-30T09:29:28Z</dcterms:created>
  <dc:creator>Apache POI</dc:creator>
</cp:coreProperties>
</file>