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专家共识标准：2.2 线性插值算法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导读部分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HRV 心率变异性分析系统 - 算法导读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核心专家共识与标准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线性插值作为HRV频域分析的</w:t>
      </w:r>
      <w:r>
        <w:rPr>
          <w:rFonts w:eastAsia="等线" w:ascii="Arial" w:cs="Arial" w:hAnsi="Arial"/>
          <w:b w:val="true"/>
          <w:sz w:val="22"/>
        </w:rPr>
        <w:t>标准化预处理步骤</w:t>
      </w:r>
      <w:r>
        <w:rPr>
          <w:rFonts w:eastAsia="等线" w:ascii="Arial" w:cs="Arial" w:hAnsi="Arial"/>
          <w:sz w:val="22"/>
        </w:rPr>
        <w:t>，在多个权威指南中被明确规定：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《1996年欧洲心脏病学会（ESC）和北美起搏与电生理学会（NASPE）HRV专家共识》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14825" cy="1962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关键要求</w:t>
      </w:r>
      <w:r>
        <w:rPr>
          <w:rFonts w:eastAsia="等线" w:ascii="Arial" w:cs="Arial" w:hAnsi="Arial"/>
          <w:sz w:val="22"/>
        </w:rPr>
        <w:t>：这是HRV分析的"圣经级"文件，</w:t>
      </w:r>
      <w:r>
        <w:rPr>
          <w:rFonts w:eastAsia="等线" w:ascii="Arial" w:cs="Arial" w:hAnsi="Arial"/>
          <w:b w:val="true"/>
          <w:sz w:val="22"/>
        </w:rPr>
        <w:t>明确要求对非均匀采样的RR间期序列进行均匀化重采样</w:t>
      </w:r>
      <w:r>
        <w:rPr>
          <w:rFonts w:eastAsia="等线" w:ascii="Arial" w:cs="Arial" w:hAnsi="Arial"/>
          <w:sz w:val="22"/>
        </w:rPr>
        <w:t>，然后才能进行频域分析。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技术规范</w:t>
      </w:r>
      <w:r>
        <w:rPr>
          <w:rFonts w:eastAsia="等线" w:ascii="Arial" w:cs="Arial" w:hAnsi="Arial"/>
          <w:sz w:val="22"/>
        </w:rPr>
        <w:t>：共识指出，由于心跳间隔不等，原始RR序列是"非均匀采样"的时间序列，直接进行FFT会产生严重的频谱失真。</w:t>
      </w:r>
      <w:r>
        <w:rPr>
          <w:rFonts w:eastAsia="等线" w:ascii="Arial" w:cs="Arial" w:hAnsi="Arial"/>
          <w:b w:val="true"/>
          <w:sz w:val="22"/>
        </w:rPr>
        <w:t>必须通过插值方法转换为均匀采样序列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后续临床研究验证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大量临床研究（如M. Malik等人的工作）证实，线性插值与其他复杂插值方法（如样条插值）在HRV分析中的效果相当，且计算更简单、稳定性更好。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共识支持的线性插值技术细节与代码的对应关系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代码实现精准地遵循了共识的技术要求：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2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 4Hz采样率的专家共识依据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</w:t>
      </w:r>
      <w:r>
        <w:rPr>
          <w:rFonts w:eastAsia="等线" w:ascii="Arial" w:cs="Arial" w:hAnsi="Arial"/>
          <w:b w:val="true"/>
          <w:sz w:val="22"/>
        </w:rPr>
        <w:t>4Hz采样率</w:t>
      </w:r>
      <w:r>
        <w:rPr>
          <w:rFonts w:eastAsia="等线" w:ascii="Arial" w:cs="Arial" w:hAnsi="Arial"/>
          <w:sz w:val="22"/>
        </w:rPr>
        <w:t>的参数有坚实的共识基础：</w:t>
      </w:r>
    </w:p>
    <w:p>
      <w:pPr>
        <w:spacing w:before="120" w:after="120" w:line="288" w:lineRule="auto"/>
        <w:ind w:left="0"/>
      </w:pPr>
      <w:r>
        <w:object>
          <v:shape id="_x0000_i1026" style="width:414pt;height:112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 线性插值在HRV分析中的临床必要性（共识明确的价值）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提到的"医学参数选择"完全符合共识精神：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消除频谱失真（核心价值）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物理原理</w:t>
      </w:r>
      <w:r>
        <w:rPr>
          <w:rFonts w:eastAsia="等线" w:ascii="Arial" w:cs="Arial" w:hAnsi="Arial"/>
          <w:sz w:val="22"/>
        </w:rPr>
        <w:t>：FFT算法基于均匀采样假设。心跳不规律会导致"非均匀采样"，直接FFT会产生严重的</w:t>
      </w:r>
      <w:r>
        <w:rPr>
          <w:rFonts w:eastAsia="等线" w:ascii="Arial" w:cs="Arial" w:hAnsi="Arial"/>
          <w:b w:val="true"/>
          <w:sz w:val="22"/>
        </w:rPr>
        <w:t>频谱泄漏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频率混叠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临床影响</w:t>
      </w:r>
      <w:r>
        <w:rPr>
          <w:rFonts w:eastAsia="等线" w:ascii="Arial" w:cs="Arial" w:hAnsi="Arial"/>
          <w:sz w:val="22"/>
        </w:rPr>
        <w:t>：未经重采样的频谱中，LF和HF功率会被严重扭曲，</w:t>
      </w:r>
      <w:r>
        <w:rPr>
          <w:rFonts w:eastAsia="等线" w:ascii="Arial" w:cs="Arial" w:hAnsi="Arial"/>
          <w:b w:val="true"/>
          <w:sz w:val="22"/>
        </w:rPr>
        <w:t>LF/HF比值失去临床意义</w:t>
      </w:r>
      <w:r>
        <w:rPr>
          <w:rFonts w:eastAsia="等线" w:ascii="Arial" w:cs="Arial" w:hAnsi="Arial"/>
          <w:sz w:val="22"/>
        </w:rPr>
        <w:t>。这是共识强制要求插值的根本原因。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保证结果可比性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所有临床研究和药物试验都采用相同的预处理标准（如4Hz线性插值），确保不同中心、不同设备的HRV参数</w:t>
      </w:r>
      <w:r>
        <w:rPr>
          <w:rFonts w:eastAsia="等线" w:ascii="Arial" w:cs="Arial" w:hAnsi="Arial"/>
          <w:b w:val="true"/>
          <w:sz w:val="22"/>
        </w:rPr>
        <w:t>具有可比性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实现使结果能够与</w:t>
      </w:r>
      <w:r>
        <w:rPr>
          <w:rFonts w:eastAsia="等线" w:ascii="Arial" w:cs="Arial" w:hAnsi="Arial"/>
          <w:b w:val="true"/>
          <w:sz w:val="22"/>
        </w:rPr>
        <w:t>大规模流行病学数据库</w:t>
      </w:r>
      <w:r>
        <w:rPr>
          <w:rFonts w:eastAsia="等线" w:ascii="Arial" w:cs="Arial" w:hAnsi="Arial"/>
          <w:sz w:val="22"/>
        </w:rPr>
        <w:t>（如Framingham心脏研究）进行直接对比。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满足FFT算法要求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FFT需要数据长度为2的幂次。通过插值到均匀序列，可以方便地补零到1024或2048点，满足</w:t>
      </w:r>
      <w:r>
        <w:rPr>
          <w:rFonts w:eastAsia="等线" w:ascii="Arial" w:cs="Arial" w:hAnsi="Arial"/>
          <w:b w:val="true"/>
          <w:sz w:val="22"/>
        </w:rPr>
        <w:t>基-2 FFT算法的要求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五、 对"算法优化"的共识视角评价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对算法效率的优化完全符合临床实用要求：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O(n+m)复杂度</w:t>
      </w:r>
      <w:r>
        <w:rPr>
          <w:rFonts w:eastAsia="等线" w:ascii="Arial" w:cs="Arial" w:hAnsi="Arial"/>
          <w:sz w:val="22"/>
        </w:rPr>
        <w:t>：对于24小时Holter数据（约10万次心跳），高效算法是</w:t>
      </w:r>
      <w:r>
        <w:rPr>
          <w:rFonts w:eastAsia="等线" w:ascii="Arial" w:cs="Arial" w:hAnsi="Arial"/>
          <w:b w:val="true"/>
          <w:sz w:val="22"/>
        </w:rPr>
        <w:t>临床可行的关键</w:t>
      </w:r>
      <w:r>
        <w:rPr>
          <w:rFonts w:eastAsia="等线" w:ascii="Arial" w:cs="Arial" w:hAnsi="Arial"/>
          <w:sz w:val="22"/>
        </w:rPr>
        <w:t>。简单的O(n×m)算法在浏览器环境中可能导致界面卡顿。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边界处理</w:t>
      </w:r>
      <w:r>
        <w:rPr>
          <w:rFonts w:eastAsia="等线" w:ascii="Arial" w:cs="Arial" w:hAnsi="Arial"/>
          <w:sz w:val="22"/>
        </w:rPr>
        <w:t>：共识虽未明确要求，但</w:t>
      </w:r>
      <w:r>
        <w:rPr>
          <w:rFonts w:eastAsia="等线" w:ascii="Arial" w:cs="Arial" w:hAnsi="Arial"/>
          <w:b w:val="true"/>
          <w:sz w:val="22"/>
        </w:rPr>
        <w:t>常数外推</w:t>
      </w:r>
      <w:r>
        <w:rPr>
          <w:rFonts w:eastAsia="等线" w:ascii="Arial" w:cs="Arial" w:hAnsi="Arial"/>
          <w:sz w:val="22"/>
        </w:rPr>
        <w:t>是合理的工程选择，避免插值端点出现NaN值，保证算法鲁棒性。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总结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线性插值实现与专家共识高度吻合。</w:t>
      </w:r>
      <w:r>
        <w:rPr>
          <w:rFonts w:eastAsia="等线" w:ascii="Arial" w:cs="Arial" w:hAnsi="Arial"/>
          <w:sz w:val="22"/>
        </w:rPr>
        <w:t xml:space="preserve"> 不仅正确选择了线性插值这一标准方法，其技术细节（4Hz采样率、状态机优化）也完全符合HRV医学分析的国际规范。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简而言之，在HRV频域分析前进行线性插值重采样不是"可选项"，而是"强制步骤"。</w:t>
      </w:r>
      <w:r>
        <w:rPr>
          <w:rFonts w:eastAsia="等线" w:ascii="Arial" w:cs="Arial" w:hAnsi="Arial"/>
          <w:sz w:val="22"/>
        </w:rPr>
        <w:t xml:space="preserve"> 的代码为后续产生符合共识的、具有临床可比性的频域参数（LF功率、HF功率等）提供了正确的数据基础。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47539">
    <w:lvl>
      <w:start w:val="1"/>
      <w:numFmt w:val="decimal"/>
      <w:suff w:val="tab"/>
      <w:lvlText w:val="%1."/>
      <w:rPr>
        <w:color w:val="3370ff"/>
      </w:rPr>
    </w:lvl>
  </w:abstractNum>
  <w:abstractNum w:abstractNumId="347540">
    <w:lvl>
      <w:start w:val="2"/>
      <w:numFmt w:val="decimal"/>
      <w:suff w:val="tab"/>
      <w:lvlText w:val="%1."/>
      <w:rPr>
        <w:color w:val="3370ff"/>
      </w:rPr>
    </w:lvl>
  </w:abstractNum>
  <w:abstractNum w:abstractNumId="347541">
    <w:lvl>
      <w:numFmt w:val="bullet"/>
      <w:suff w:val="tab"/>
      <w:lvlText w:val="￮"/>
      <w:rPr>
        <w:color w:val="3370ff"/>
      </w:rPr>
    </w:lvl>
  </w:abstractNum>
  <w:abstractNum w:abstractNumId="347542">
    <w:lvl>
      <w:numFmt w:val="bullet"/>
      <w:suff w:val="tab"/>
      <w:lvlText w:val="￮"/>
      <w:rPr>
        <w:color w:val="3370ff"/>
      </w:rPr>
    </w:lvl>
  </w:abstractNum>
  <w:abstractNum w:abstractNumId="347543">
    <w:lvl>
      <w:start w:val="3"/>
      <w:numFmt w:val="decimal"/>
      <w:suff w:val="tab"/>
      <w:lvlText w:val="%1."/>
      <w:rPr>
        <w:color w:val="3370ff"/>
      </w:rPr>
    </w:lvl>
  </w:abstractNum>
  <w:abstractNum w:abstractNumId="347544">
    <w:lvl>
      <w:numFmt w:val="bullet"/>
      <w:suff w:val="tab"/>
      <w:lvlText w:val="￮"/>
      <w:rPr>
        <w:color w:val="3370ff"/>
      </w:rPr>
    </w:lvl>
  </w:abstractNum>
  <w:abstractNum w:abstractNumId="347545">
    <w:lvl>
      <w:start w:val="1"/>
      <w:numFmt w:val="decimal"/>
      <w:suff w:val="tab"/>
      <w:lvlText w:val="%1."/>
      <w:rPr>
        <w:color w:val="3370ff"/>
      </w:rPr>
    </w:lvl>
  </w:abstractNum>
  <w:abstractNum w:abstractNumId="347546">
    <w:lvl>
      <w:numFmt w:val="bullet"/>
      <w:suff w:val="tab"/>
      <w:lvlText w:val="￮"/>
      <w:rPr>
        <w:color w:val="3370ff"/>
      </w:rPr>
    </w:lvl>
  </w:abstractNum>
  <w:abstractNum w:abstractNumId="347547">
    <w:lvl>
      <w:numFmt w:val="bullet"/>
      <w:suff w:val="tab"/>
      <w:lvlText w:val="￮"/>
      <w:rPr>
        <w:color w:val="3370ff"/>
      </w:rPr>
    </w:lvl>
  </w:abstractNum>
  <w:abstractNum w:abstractNumId="347548">
    <w:lvl>
      <w:start w:val="2"/>
      <w:numFmt w:val="decimal"/>
      <w:suff w:val="tab"/>
      <w:lvlText w:val="%1."/>
      <w:rPr>
        <w:color w:val="3370ff"/>
      </w:rPr>
    </w:lvl>
  </w:abstractNum>
  <w:abstractNum w:abstractNumId="347549">
    <w:lvl>
      <w:numFmt w:val="bullet"/>
      <w:suff w:val="tab"/>
      <w:lvlText w:val="￮"/>
      <w:rPr>
        <w:color w:val="3370ff"/>
      </w:rPr>
    </w:lvl>
  </w:abstractNum>
  <w:abstractNum w:abstractNumId="347550">
    <w:lvl>
      <w:numFmt w:val="bullet"/>
      <w:suff w:val="tab"/>
      <w:lvlText w:val="￮"/>
      <w:rPr>
        <w:color w:val="3370ff"/>
      </w:rPr>
    </w:lvl>
  </w:abstractNum>
  <w:abstractNum w:abstractNumId="347551">
    <w:lvl>
      <w:start w:val="3"/>
      <w:numFmt w:val="decimal"/>
      <w:suff w:val="tab"/>
      <w:lvlText w:val="%1."/>
      <w:rPr>
        <w:color w:val="3370ff"/>
      </w:rPr>
    </w:lvl>
  </w:abstractNum>
  <w:abstractNum w:abstractNumId="347552">
    <w:lvl>
      <w:numFmt w:val="bullet"/>
      <w:suff w:val="tab"/>
      <w:lvlText w:val="￮"/>
      <w:rPr>
        <w:color w:val="3370ff"/>
      </w:rPr>
    </w:lvl>
  </w:abstractNum>
  <w:abstractNum w:abstractNumId="347553">
    <w:lvl>
      <w:numFmt w:val="bullet"/>
      <w:suff w:val="tab"/>
      <w:lvlText w:val="•"/>
      <w:rPr>
        <w:color w:val="3370ff"/>
      </w:rPr>
    </w:lvl>
  </w:abstractNum>
  <w:abstractNum w:abstractNumId="347554">
    <w:lvl>
      <w:numFmt w:val="bullet"/>
      <w:suff w:val="tab"/>
      <w:lvlText w:val="•"/>
      <w:rPr>
        <w:color w:val="3370ff"/>
      </w:rPr>
    </w:lvl>
  </w:abstractNum>
  <w:num w:numId="1">
    <w:abstractNumId w:val="347539"/>
  </w:num>
  <w:num w:numId="2">
    <w:abstractNumId w:val="347540"/>
  </w:num>
  <w:num w:numId="3">
    <w:abstractNumId w:val="347541"/>
  </w:num>
  <w:num w:numId="4">
    <w:abstractNumId w:val="347542"/>
  </w:num>
  <w:num w:numId="5">
    <w:abstractNumId w:val="347543"/>
  </w:num>
  <w:num w:numId="6">
    <w:abstractNumId w:val="347544"/>
  </w:num>
  <w:num w:numId="7">
    <w:abstractNumId w:val="347545"/>
  </w:num>
  <w:num w:numId="8">
    <w:abstractNumId w:val="347546"/>
  </w:num>
  <w:num w:numId="9">
    <w:abstractNumId w:val="347547"/>
  </w:num>
  <w:num w:numId="10">
    <w:abstractNumId w:val="347548"/>
  </w:num>
  <w:num w:numId="11">
    <w:abstractNumId w:val="347549"/>
  </w:num>
  <w:num w:numId="12">
    <w:abstractNumId w:val="347550"/>
  </w:num>
  <w:num w:numId="13">
    <w:abstractNumId w:val="347551"/>
  </w:num>
  <w:num w:numId="14">
    <w:abstractNumId w:val="347552"/>
  </w:num>
  <w:num w:numId="15">
    <w:abstractNumId w:val="347553"/>
  </w:num>
  <w:num w:numId="16">
    <w:abstractNumId w:val="3475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newhope1982.feishu.cn/wiki/M4Eawk5gCiXxo1kboFUczpQWnmg#share-Xx3IdyklloEM3ZxVADecswMdnGD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2025-12-30T09:29:35Z</dcterms:created>
  <dc:creator>Apache POI</dc:creator>
</cp:coreProperties>
</file>