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专家共识标准：2.3 去趋势处理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去趋势处理是HRV频域分析的</w:t>
      </w:r>
      <w:r>
        <w:rPr>
          <w:rFonts w:eastAsia="等线" w:ascii="Arial" w:cs="Arial" w:hAnsi="Arial"/>
          <w:b w:val="true"/>
          <w:sz w:val="22"/>
        </w:rPr>
        <w:t>标准化预处理步骤</w:t>
      </w:r>
      <w:r>
        <w:rPr>
          <w:rFonts w:eastAsia="等线" w:ascii="Arial" w:cs="Arial" w:hAnsi="Arial"/>
          <w:sz w:val="22"/>
        </w:rPr>
        <w:t>，主要依据以下权威指南：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  <w:r>
        <w:rPr>
          <w:rFonts w:eastAsia="等线" w:ascii="Arial" w:cs="Arial" w:hAnsi="Arial"/>
          <w:sz w:val="22"/>
        </w:rPr>
        <w:t>：这是HRV分析的奠基性文件，明确建议在计算功率谱密度（如使用FFT）前，必须对信号进行去趋势处理，以消除直流分量（DC component）和线性趋势，避免频谱泄漏和低频失真。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后续临床实践指南</w:t>
      </w:r>
      <w:r>
        <w:rPr>
          <w:rFonts w:eastAsia="等线" w:ascii="Arial" w:cs="Arial" w:hAnsi="Arial"/>
          <w:sz w:val="22"/>
        </w:rPr>
        <w:t>：如美国心脏协会（AHA）的相关科学声明，也延续了这一推荐，强调去趋势处理对于确保频域参数（如LF、HF功率）准确性的重要性。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二、共识支持的去趋势处理技术细节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代码实现（第837-840行）精准地遵循了共识的要求：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detrend(arr) {</w:t>
              <w:br/>
              <w:t xml:space="preserve">    const m = mean(arr);</w:t>
              <w:br/>
              <w:t xml:space="preserve">    return arr.map(v =&gt; v - m);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：一阶去趋势（减去均值）是共识推荐的</w:t>
      </w:r>
      <w:r>
        <w:rPr>
          <w:rFonts w:eastAsia="等线" w:ascii="Arial" w:cs="Arial" w:hAnsi="Arial"/>
          <w:b w:val="true"/>
          <w:sz w:val="22"/>
        </w:rPr>
        <w:t>基本方法</w:t>
      </w:r>
      <w:r>
        <w:rPr>
          <w:rFonts w:eastAsia="等线" w:ascii="Arial" w:cs="Arial" w:hAnsi="Arial"/>
          <w:sz w:val="22"/>
        </w:rPr>
        <w:t>，适用于短时程（如5分钟）HRV分析。它有效去除信号的直流偏移，使信号均值为零。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：共识指出，FFT假设信号是周期性的，如果信号首尾不连续（如存在趋势），会导致</w:t>
      </w:r>
      <w:r>
        <w:rPr>
          <w:rFonts w:eastAsia="等线" w:ascii="Arial" w:cs="Arial" w:hAnsi="Arial"/>
          <w:b w:val="true"/>
          <w:sz w:val="22"/>
        </w:rPr>
        <w:t>频谱泄漏</w:t>
      </w:r>
      <w:r>
        <w:rPr>
          <w:rFonts w:eastAsia="等线" w:ascii="Arial" w:cs="Arial" w:hAnsi="Arial"/>
          <w:sz w:val="22"/>
        </w:rPr>
        <w:t>（Spectral Leakage），尤其在低频段（如VLF频带）产生伪功率，影响LF/HF比值的临床有效性。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医学必要性</w:t>
      </w:r>
      <w:r>
        <w:rPr>
          <w:rFonts w:eastAsia="等线" w:ascii="Arial" w:cs="Arial" w:hAnsi="Arial"/>
          <w:sz w:val="22"/>
        </w:rPr>
        <w:t>：去趋势处理确保了：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VLF频带准确性</w:t>
      </w:r>
      <w:r>
        <w:rPr>
          <w:rFonts w:eastAsia="等线" w:ascii="Arial" w:cs="Arial" w:hAnsi="Arial"/>
          <w:sz w:val="22"/>
        </w:rPr>
        <w:t>：避免直流分量淹没极低频段的真实生理信息。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功率计算可靠性</w:t>
      </w:r>
      <w:r>
        <w:rPr>
          <w:rFonts w:eastAsia="等线" w:ascii="Arial" w:cs="Arial" w:hAnsi="Arial"/>
          <w:sz w:val="22"/>
        </w:rPr>
        <w:t>：使LF和HF功率反映真实的自主神经活动，而非技术伪差。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三、更高级方法的共识视角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共识也提到，对于长时程（如24小时）HRV分析，可能需要更复杂的去趋势方法（如多项式拟合或小波分解），以处理非平稳趋势。但实现针对短时程分析，</w:t>
      </w:r>
      <w:r>
        <w:rPr>
          <w:rFonts w:eastAsia="等线" w:ascii="Arial" w:cs="Arial" w:hAnsi="Arial"/>
          <w:b w:val="true"/>
          <w:sz w:val="22"/>
        </w:rPr>
        <w:t>一阶去趋势已满足共识要求</w:t>
      </w:r>
      <w:r>
        <w:rPr>
          <w:rFonts w:eastAsia="等线" w:ascii="Arial" w:cs="Arial" w:hAnsi="Arial"/>
          <w:sz w:val="22"/>
        </w:rPr>
        <w:t>，且计算高效，适合临床常规应用。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去趋势处理代码与专家共识高度吻合。</w:t>
      </w:r>
      <w:r>
        <w:rPr>
          <w:rFonts w:eastAsia="等线" w:ascii="Arial" w:cs="Arial" w:hAnsi="Arial"/>
          <w:b w:val="true"/>
          <w:sz w:val="22"/>
        </w:rPr>
        <w:t>在HRV频域分析前进行去趋势处理不是可选项，而是强制性的预处理步骤</w:t>
      </w:r>
      <w:r>
        <w:rPr>
          <w:rFonts w:eastAsia="等线" w:ascii="Arial" w:cs="Arial" w:hAnsi="Arial"/>
          <w:sz w:val="22"/>
        </w:rPr>
        <w:t>，以确保结果符合国际标准，具有临床可比性。结合已实现的线性插值和FFT算法，这套流程完全符合1996年ESC/NASPE共识的规范。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005">
    <w:lvl>
      <w:numFmt w:val="bullet"/>
      <w:suff w:val="tab"/>
      <w:lvlText w:val="•"/>
      <w:rPr>
        <w:color w:val="3370ff"/>
      </w:rPr>
    </w:lvl>
  </w:abstractNum>
  <w:abstractNum w:abstractNumId="17006">
    <w:lvl>
      <w:numFmt w:val="bullet"/>
      <w:suff w:val="tab"/>
      <w:lvlText w:val="•"/>
      <w:rPr>
        <w:color w:val="3370ff"/>
      </w:rPr>
    </w:lvl>
  </w:abstractNum>
  <w:abstractNum w:abstractNumId="17007">
    <w:lvl>
      <w:numFmt w:val="bullet"/>
      <w:suff w:val="tab"/>
      <w:lvlText w:val="•"/>
      <w:rPr>
        <w:color w:val="3370ff"/>
      </w:rPr>
    </w:lvl>
  </w:abstractNum>
  <w:abstractNum w:abstractNumId="17008">
    <w:lvl>
      <w:numFmt w:val="bullet"/>
      <w:suff w:val="tab"/>
      <w:lvlText w:val="•"/>
      <w:rPr>
        <w:color w:val="3370ff"/>
      </w:rPr>
    </w:lvl>
  </w:abstractNum>
  <w:abstractNum w:abstractNumId="17009">
    <w:lvl>
      <w:numFmt w:val="bullet"/>
      <w:suff w:val="tab"/>
      <w:lvlText w:val="•"/>
      <w:rPr>
        <w:color w:val="3370ff"/>
      </w:rPr>
    </w:lvl>
  </w:abstractNum>
  <w:abstractNum w:abstractNumId="17010">
    <w:lvl>
      <w:numFmt w:val="bullet"/>
      <w:suff w:val="tab"/>
      <w:lvlText w:val="￮"/>
      <w:rPr>
        <w:color w:val="3370ff"/>
      </w:rPr>
    </w:lvl>
  </w:abstractNum>
  <w:abstractNum w:abstractNumId="17011">
    <w:lvl>
      <w:numFmt w:val="bullet"/>
      <w:suff w:val="tab"/>
      <w:lvlText w:val="￮"/>
      <w:rPr>
        <w:color w:val="3370ff"/>
      </w:rPr>
    </w:lvl>
  </w:abstractNum>
  <w:num w:numId="1">
    <w:abstractNumId w:val="17005"/>
  </w:num>
  <w:num w:numId="2">
    <w:abstractNumId w:val="17006"/>
  </w:num>
  <w:num w:numId="3">
    <w:abstractNumId w:val="17007"/>
  </w:num>
  <w:num w:numId="4">
    <w:abstractNumId w:val="17008"/>
  </w:num>
  <w:num w:numId="5">
    <w:abstractNumId w:val="17009"/>
  </w:num>
  <w:num w:numId="6">
    <w:abstractNumId w:val="17010"/>
  </w:num>
  <w:num w:numId="7">
    <w:abstractNumId w:val="170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2025-12-30T09:29:30Z</dcterms:created>
  <dc:creator>Apache POI</dc:creator>
</cp:coreProperties>
</file>