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专家共识标准：2.4 统计学辅助函数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导读部分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HRV 心率变异性分析系统 - 算法导读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关于在心率变异性（HRV）分析中使用这些</w:t>
      </w:r>
      <w:r>
        <w:rPr>
          <w:rFonts w:eastAsia="等线" w:ascii="Arial" w:cs="Arial" w:hAnsi="Arial"/>
          <w:b w:val="true"/>
          <w:sz w:val="22"/>
        </w:rPr>
        <w:t>统计学辅助函数</w:t>
      </w:r>
      <w:r>
        <w:rPr>
          <w:rFonts w:eastAsia="等线" w:ascii="Arial" w:cs="Arial" w:hAnsi="Arial"/>
          <w:sz w:val="22"/>
        </w:rPr>
        <w:t>，有非常明确和权威的专家共识支持。这些函数是HRV时域分析的核心计算基础。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76675" cy="2657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一、核心专家共识与标准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这些统计学函数是HRV时域参数计算的</w:t>
      </w:r>
      <w:r>
        <w:rPr>
          <w:rFonts w:eastAsia="等线" w:ascii="Arial" w:cs="Arial" w:hAnsi="Arial"/>
          <w:b w:val="true"/>
          <w:sz w:val="22"/>
        </w:rPr>
        <w:t>标准化方法</w:t>
      </w:r>
      <w:r>
        <w:rPr>
          <w:rFonts w:eastAsia="等线" w:ascii="Arial" w:cs="Arial" w:hAnsi="Arial"/>
          <w:sz w:val="22"/>
        </w:rPr>
        <w:t>，主要依据以下权威指南：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《1996年欧洲心脏病学会（ESC）和北美起搏与电生理学会（NASPE）HRV专家共识》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829050" cy="1743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这是HRV分析的奠基性文件，</w:t>
      </w:r>
      <w:r>
        <w:rPr>
          <w:rFonts w:eastAsia="等线" w:ascii="Arial" w:cs="Arial" w:hAnsi="Arial"/>
          <w:b w:val="true"/>
          <w:sz w:val="22"/>
        </w:rPr>
        <w:t>明确规定了时域参数的计算公式</w:t>
      </w:r>
      <w:r>
        <w:rPr>
          <w:rFonts w:eastAsia="等线" w:ascii="Arial" w:cs="Arial" w:hAnsi="Arial"/>
          <w:sz w:val="22"/>
        </w:rPr>
        <w:t>，这些公式正是基于实现的这些基础统计函数。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《2015年ESC室性心律失常和心源性猝死预防指南》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后续指南在HRV用于风险分层时，继续沿用这些标准计算方法。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二、共识支持的函数实现与临床意义对应关系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每个函数实现都精准对应HRV共识中定义的关键参数：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2.4.1 均值计算（第793-798行）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mean(arr) {</w:t>
              <w:br/>
              <w:t xml:space="preserve">    if (!arr || arr.length === 0) return NaN;</w:t>
              <w:br/>
              <w:t xml:space="preserve">    let s = 0;</w:t>
              <w:br/>
              <w:t xml:space="preserve">    for (let v of arr) s += v;</w:t>
              <w:br/>
              <w:t xml:space="preserve">    return s / arr.length;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共识对应参数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平均NN间期</w:t>
      </w:r>
      <w:r>
        <w:rPr>
          <w:rFonts w:eastAsia="等线" w:ascii="Arial" w:cs="Arial" w:hAnsi="Arial"/>
          <w:sz w:val="22"/>
        </w:rPr>
        <w:t>：直接用于计算平均心率（60,000/平均NN间期）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SDANN</w:t>
      </w:r>
      <w:r>
        <w:rPr>
          <w:rFonts w:eastAsia="等线" w:ascii="Arial" w:cs="Arial" w:hAnsi="Arial"/>
          <w:sz w:val="22"/>
        </w:rPr>
        <w:t>：先计算5分钟NN间期均值，再计算这些均值的标准差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14850" cy="2381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临床意义</w:t>
      </w:r>
      <w:r>
        <w:rPr>
          <w:rFonts w:eastAsia="等线" w:ascii="Arial" w:cs="Arial" w:hAnsi="Arial"/>
          <w:sz w:val="22"/>
        </w:rPr>
        <w:t>：基础参数，反映心率的平均水平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2.4.2 标准差计算（第801-807行）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std(arr) {</w:t>
              <w:br/>
              <w:t xml:space="preserve">    if (!arr || arr.length &lt; 2) return 0;</w:t>
              <w:br/>
              <w:t xml:space="preserve">    const m = mean(arr);</w:t>
              <w:br/>
              <w:t xml:space="preserve">    let s = 0;</w:t>
              <w:br/>
              <w:t xml:space="preserve">    for (let v of arr) s += (v - m) * (v - m);</w:t>
              <w:br/>
              <w:t xml:space="preserve">    return Math.sqrt(s / (arr.length - 1)); // 无偏估计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共识对应参数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SDNN</w:t>
      </w:r>
      <w:r>
        <w:rPr>
          <w:rFonts w:eastAsia="等线" w:ascii="Arial" w:cs="Arial" w:hAnsi="Arial"/>
          <w:sz w:val="22"/>
        </w:rPr>
        <w:t xml:space="preserve">：全部正常窦性心搏（NN）间期的标准差 → </w:t>
      </w:r>
      <w:r>
        <w:rPr>
          <w:rFonts w:eastAsia="等线" w:ascii="Arial" w:cs="Arial" w:hAnsi="Arial"/>
          <w:b w:val="true"/>
          <w:sz w:val="22"/>
        </w:rPr>
        <w:t>最重要的长时程HRV指标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19675" cy="22669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SDANN index</w:t>
      </w:r>
      <w:r>
        <w:rPr>
          <w:rFonts w:eastAsia="等线" w:ascii="Arial" w:cs="Arial" w:hAnsi="Arial"/>
          <w:sz w:val="22"/>
        </w:rPr>
        <w:t>：每5分钟NN间期标准差的平均值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829175" cy="2686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关键细节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n-1</w:t>
      </w:r>
      <w:r>
        <w:rPr>
          <w:rFonts w:eastAsia="等线" w:ascii="Arial" w:cs="Arial" w:hAnsi="Arial"/>
          <w:sz w:val="22"/>
        </w:rPr>
        <w:t>（无偏估计）符合统计学标准，确保样本标准差的准确性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共识明确价值</w:t>
      </w:r>
      <w:r>
        <w:rPr>
          <w:rFonts w:eastAsia="等线" w:ascii="Arial" w:cs="Arial" w:hAnsi="Arial"/>
          <w:sz w:val="22"/>
        </w:rPr>
        <w:t>：SDNN &lt; 100ms提示中度HRV降低，&lt;50ms为明显降低，是心肌梗死后死亡的强预测因子。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19600" cy="2886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2.4.3 逐差数组计算（第810-814行）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diffArray(arr) {</w:t>
              <w:br/>
              <w:t xml:space="preserve">    const out = [];</w:t>
              <w:br/>
              <w:t xml:space="preserve">    for (let i = 1; i &lt; arr.length; i++) {</w:t>
              <w:br/>
              <w:t xml:space="preserve">        out.push(arr[i] - arr[i - 1]);</w:t>
              <w:br/>
              <w:t xml:space="preserve">    }</w:t>
              <w:br/>
              <w:t xml:space="preserve">    return out;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共识对应参数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RMSSD</w:t>
      </w:r>
      <w:r>
        <w:rPr>
          <w:rFonts w:eastAsia="等线" w:ascii="Arial" w:cs="Arial" w:hAnsi="Arial"/>
          <w:sz w:val="22"/>
        </w:rPr>
        <w:t xml:space="preserve">：相邻NN间期差值的均方根 → </w:t>
      </w:r>
      <w:r>
        <w:rPr>
          <w:rFonts w:eastAsia="等线" w:ascii="Arial" w:cs="Arial" w:hAnsi="Arial"/>
          <w:b w:val="true"/>
          <w:sz w:val="22"/>
        </w:rPr>
        <w:t>核心的迷走神经活性指标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448175" cy="2124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pNN50</w:t>
      </w:r>
      <w:r>
        <w:rPr>
          <w:rFonts w:eastAsia="等线" w:ascii="Arial" w:cs="Arial" w:hAnsi="Arial"/>
          <w:sz w:val="22"/>
        </w:rPr>
        <w:t xml:space="preserve">：相邻NN间期差值&gt;50ms的百分比 → </w:t>
      </w:r>
      <w:r>
        <w:rPr>
          <w:rFonts w:eastAsia="等线" w:ascii="Arial" w:cs="Arial" w:hAnsi="Arial"/>
          <w:b w:val="true"/>
          <w:sz w:val="22"/>
        </w:rPr>
        <w:t>高频变异指标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33950" cy="26003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RMSSD = √mean(diffArray²)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pNN50 = count(|diff| &gt; 50ms) / total × 100%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共识明确价值</w:t>
      </w:r>
      <w:r>
        <w:rPr>
          <w:rFonts w:eastAsia="等线" w:ascii="Arial" w:cs="Arial" w:hAnsi="Arial"/>
          <w:sz w:val="22"/>
        </w:rPr>
        <w:t>：RMSSD和pNN50主要反映迷走神经对心率的快速调节，是评估副交感神经功能的金标准。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三、算法优化的共识视角评价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实现完全符合临床实用要求：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O(n)复杂度</w:t>
      </w:r>
      <w:r>
        <w:rPr>
          <w:rFonts w:eastAsia="等线" w:ascii="Arial" w:cs="Arial" w:hAnsi="Arial"/>
          <w:sz w:val="22"/>
        </w:rPr>
        <w:t>：对于24小时Holter数据（约10万次心跳），高效算法是临床可行的关键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边界处理</w:t>
      </w:r>
      <w:r>
        <w:rPr>
          <w:rFonts w:eastAsia="等线" w:ascii="Arial" w:cs="Arial" w:hAnsi="Arial"/>
          <w:sz w:val="22"/>
        </w:rPr>
        <w:t>：空数组返回NaN或0，避免运行时错误，保证算法鲁棒性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数值稳定性</w:t>
      </w:r>
      <w:r>
        <w:rPr>
          <w:rFonts w:eastAsia="等线" w:ascii="Arial" w:cs="Arial" w:hAnsi="Arial"/>
          <w:sz w:val="22"/>
        </w:rPr>
        <w:t>：直接求和对于HRV数据量（通常&lt;100,000点）精度足够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四、临床应用的共识要求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1996年ESC共识明确要求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短时程分析（5分钟）</w:t>
      </w:r>
      <w:r>
        <w:rPr>
          <w:rFonts w:eastAsia="等线" w:ascii="Arial" w:cs="Arial" w:hAnsi="Arial"/>
          <w:sz w:val="22"/>
        </w:rPr>
        <w:t>：应报告SDNN、RMSSD、pNN50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124450" cy="27146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长时程分析（24小时）</w:t>
      </w:r>
      <w:r>
        <w:rPr>
          <w:rFonts w:eastAsia="等线" w:ascii="Arial" w:cs="Arial" w:hAnsi="Arial"/>
          <w:sz w:val="22"/>
        </w:rPr>
        <w:t>：应报告SDNN、SDANN、RMSSD、pNN50、HRV三角指数等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0194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这三个基础函数正是计算这些</w:t>
      </w:r>
      <w:r>
        <w:rPr>
          <w:rFonts w:eastAsia="等线" w:ascii="Arial" w:cs="Arial" w:hAnsi="Arial"/>
          <w:b w:val="true"/>
          <w:sz w:val="22"/>
        </w:rPr>
        <w:t>共识强制要求参数</w:t>
      </w:r>
      <w:r>
        <w:rPr>
          <w:rFonts w:eastAsia="等线" w:ascii="Arial" w:cs="Arial" w:hAnsi="Arial"/>
          <w:sz w:val="22"/>
        </w:rPr>
        <w:t>的数学基础。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总结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统计学辅助函数实现与专家共识高度吻合。</w:t>
      </w:r>
      <w:r>
        <w:rPr>
          <w:rFonts w:eastAsia="等线" w:ascii="Arial" w:cs="Arial" w:hAnsi="Arial"/>
          <w:sz w:val="22"/>
        </w:rPr>
        <w:t xml:space="preserve"> 这些函数不是可选的工具函数，而是HRV时域分析</w:t>
      </w:r>
      <w:r>
        <w:rPr>
          <w:rFonts w:eastAsia="等线" w:ascii="Arial" w:cs="Arial" w:hAnsi="Arial"/>
          <w:b w:val="true"/>
          <w:sz w:val="22"/>
        </w:rPr>
        <w:t>标准化流程的核心组成部分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简而言之：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均值函数</w:t>
      </w:r>
      <w:r>
        <w:rPr>
          <w:rFonts w:eastAsia="等线" w:ascii="Arial" w:cs="Arial" w:hAnsi="Arial"/>
          <w:sz w:val="22"/>
        </w:rPr>
        <w:t xml:space="preserve"> → 基础心率计算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标准差函数</w:t>
      </w:r>
      <w:r>
        <w:rPr>
          <w:rFonts w:eastAsia="等线" w:ascii="Arial" w:cs="Arial" w:hAnsi="Arial"/>
          <w:sz w:val="22"/>
        </w:rPr>
        <w:t xml:space="preserve"> → SDNN、SDANN等总体变异指标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6193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逐差函数</w:t>
      </w:r>
      <w:r>
        <w:rPr>
          <w:rFonts w:eastAsia="等线" w:ascii="Arial" w:cs="Arial" w:hAnsi="Arial"/>
          <w:sz w:val="22"/>
        </w:rPr>
        <w:t xml:space="preserve"> → RMSSD、pNN50等迷走神经活性指标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这些函数的正确实现确保了后续HRV参数计算符合国际标准，结果具有临床可比性和诊断价值。结合已实现的插值、去趋势和FFT算法，这套完整的HRV分析流程完全符合1996年ESC/NASPE共识的规范。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70887">
    <w:lvl>
      <w:start w:val="1"/>
      <w:numFmt w:val="decimal"/>
      <w:suff w:val="tab"/>
      <w:lvlText w:val="%1."/>
      <w:rPr>
        <w:color w:val="3370ff"/>
      </w:rPr>
    </w:lvl>
  </w:abstractNum>
  <w:abstractNum w:abstractNumId="2770888">
    <w:lvl>
      <w:start w:val="2"/>
      <w:numFmt w:val="decimal"/>
      <w:suff w:val="tab"/>
      <w:lvlText w:val="%1."/>
      <w:rPr>
        <w:color w:val="3370ff"/>
      </w:rPr>
    </w:lvl>
  </w:abstractNum>
  <w:abstractNum w:abstractNumId="2770889">
    <w:lvl>
      <w:numFmt w:val="bullet"/>
      <w:suff w:val="tab"/>
      <w:lvlText w:val="￮"/>
      <w:rPr>
        <w:color w:val="3370ff"/>
      </w:rPr>
    </w:lvl>
  </w:abstractNum>
  <w:abstractNum w:abstractNumId="2770890">
    <w:lvl>
      <w:start w:val="3"/>
      <w:numFmt w:val="decimal"/>
      <w:suff w:val="tab"/>
      <w:lvlText w:val="%1."/>
      <w:rPr>
        <w:color w:val="3370ff"/>
      </w:rPr>
    </w:lvl>
  </w:abstractNum>
  <w:abstractNum w:abstractNumId="2770891">
    <w:lvl>
      <w:numFmt w:val="bullet"/>
      <w:suff w:val="tab"/>
      <w:lvlText w:val="￮"/>
      <w:rPr>
        <w:color w:val="3370ff"/>
      </w:rPr>
    </w:lvl>
  </w:abstractNum>
  <w:abstractNum w:abstractNumId="2770892">
    <w:lvl>
      <w:numFmt w:val="bullet"/>
      <w:suff w:val="tab"/>
      <w:lvlText w:val="•"/>
      <w:rPr>
        <w:color w:val="3370ff"/>
      </w:rPr>
    </w:lvl>
  </w:abstractNum>
  <w:abstractNum w:abstractNumId="2770893">
    <w:lvl>
      <w:numFmt w:val="bullet"/>
      <w:suff w:val="tab"/>
      <w:lvlText w:val="•"/>
      <w:rPr>
        <w:color w:val="3370ff"/>
      </w:rPr>
    </w:lvl>
  </w:abstractNum>
  <w:abstractNum w:abstractNumId="2770894">
    <w:lvl>
      <w:numFmt w:val="bullet"/>
      <w:suff w:val="tab"/>
      <w:lvlText w:val="•"/>
      <w:rPr>
        <w:color w:val="3370ff"/>
      </w:rPr>
    </w:lvl>
  </w:abstractNum>
  <w:abstractNum w:abstractNumId="2770895">
    <w:lvl>
      <w:numFmt w:val="bullet"/>
      <w:suff w:val="tab"/>
      <w:lvlText w:val="•"/>
      <w:rPr>
        <w:color w:val="3370ff"/>
      </w:rPr>
    </w:lvl>
  </w:abstractNum>
  <w:abstractNum w:abstractNumId="2770896">
    <w:lvl>
      <w:numFmt w:val="bullet"/>
      <w:suff w:val="tab"/>
      <w:lvlText w:val="•"/>
      <w:rPr>
        <w:color w:val="3370ff"/>
      </w:rPr>
    </w:lvl>
  </w:abstractNum>
  <w:abstractNum w:abstractNumId="2770897">
    <w:lvl>
      <w:numFmt w:val="bullet"/>
      <w:suff w:val="tab"/>
      <w:lvlText w:val="•"/>
      <w:rPr>
        <w:color w:val="3370ff"/>
      </w:rPr>
    </w:lvl>
  </w:abstractNum>
  <w:abstractNum w:abstractNumId="2770898">
    <w:lvl>
      <w:numFmt w:val="bullet"/>
      <w:suff w:val="tab"/>
      <w:lvlText w:val="•"/>
      <w:rPr>
        <w:color w:val="3370ff"/>
      </w:rPr>
    </w:lvl>
  </w:abstractNum>
  <w:abstractNum w:abstractNumId="2770899">
    <w:lvl>
      <w:numFmt w:val="bullet"/>
      <w:suff w:val="tab"/>
      <w:lvlText w:val="•"/>
      <w:rPr>
        <w:color w:val="3370ff"/>
      </w:rPr>
    </w:lvl>
  </w:abstractNum>
  <w:abstractNum w:abstractNumId="2770900">
    <w:lvl>
      <w:numFmt w:val="bullet"/>
      <w:suff w:val="tab"/>
      <w:lvlText w:val="•"/>
      <w:rPr>
        <w:color w:val="3370ff"/>
      </w:rPr>
    </w:lvl>
  </w:abstractNum>
  <w:abstractNum w:abstractNumId="2770901">
    <w:lvl>
      <w:numFmt w:val="bullet"/>
      <w:suff w:val="tab"/>
      <w:lvlText w:val="•"/>
      <w:rPr>
        <w:color w:val="3370ff"/>
      </w:rPr>
    </w:lvl>
  </w:abstractNum>
  <w:abstractNum w:abstractNumId="2770902">
    <w:lvl>
      <w:numFmt w:val="bullet"/>
      <w:suff w:val="tab"/>
      <w:lvlText w:val="•"/>
      <w:rPr>
        <w:color w:val="3370ff"/>
      </w:rPr>
    </w:lvl>
  </w:abstractNum>
  <w:abstractNum w:abstractNumId="2770903">
    <w:lvl>
      <w:numFmt w:val="bullet"/>
      <w:suff w:val="tab"/>
      <w:lvlText w:val="•"/>
      <w:rPr>
        <w:color w:val="3370ff"/>
      </w:rPr>
    </w:lvl>
  </w:abstractNum>
  <w:abstractNum w:abstractNumId="2770904">
    <w:lvl>
      <w:numFmt w:val="bullet"/>
      <w:suff w:val="tab"/>
      <w:lvlText w:val="•"/>
      <w:rPr>
        <w:color w:val="3370ff"/>
      </w:rPr>
    </w:lvl>
  </w:abstractNum>
  <w:abstractNum w:abstractNumId="2770905">
    <w:lvl>
      <w:numFmt w:val="bullet"/>
      <w:suff w:val="tab"/>
      <w:lvlText w:val="•"/>
      <w:rPr>
        <w:color w:val="3370ff"/>
      </w:rPr>
    </w:lvl>
  </w:abstractNum>
  <w:abstractNum w:abstractNumId="2770906">
    <w:lvl>
      <w:numFmt w:val="bullet"/>
      <w:suff w:val="tab"/>
      <w:lvlText w:val="•"/>
      <w:rPr>
        <w:color w:val="3370ff"/>
      </w:rPr>
    </w:lvl>
  </w:abstractNum>
  <w:abstractNum w:abstractNumId="2770907">
    <w:lvl>
      <w:numFmt w:val="bullet"/>
      <w:suff w:val="tab"/>
      <w:lvlText w:val="•"/>
      <w:rPr>
        <w:color w:val="3370ff"/>
      </w:rPr>
    </w:lvl>
  </w:abstractNum>
  <w:abstractNum w:abstractNumId="2770908">
    <w:lvl>
      <w:numFmt w:val="bullet"/>
      <w:suff w:val="tab"/>
      <w:lvlText w:val="•"/>
      <w:rPr>
        <w:color w:val="3370ff"/>
      </w:rPr>
    </w:lvl>
  </w:abstractNum>
  <w:abstractNum w:abstractNumId="2770909">
    <w:lvl>
      <w:numFmt w:val="bullet"/>
      <w:suff w:val="tab"/>
      <w:lvlText w:val="•"/>
      <w:rPr>
        <w:color w:val="3370ff"/>
      </w:rPr>
    </w:lvl>
  </w:abstractNum>
  <w:num w:numId="1">
    <w:abstractNumId w:val="2770887"/>
  </w:num>
  <w:num w:numId="2">
    <w:abstractNumId w:val="2770888"/>
  </w:num>
  <w:num w:numId="3">
    <w:abstractNumId w:val="2770889"/>
  </w:num>
  <w:num w:numId="4">
    <w:abstractNumId w:val="2770890"/>
  </w:num>
  <w:num w:numId="5">
    <w:abstractNumId w:val="2770891"/>
  </w:num>
  <w:num w:numId="6">
    <w:abstractNumId w:val="2770892"/>
  </w:num>
  <w:num w:numId="7">
    <w:abstractNumId w:val="2770893"/>
  </w:num>
  <w:num w:numId="8">
    <w:abstractNumId w:val="2770894"/>
  </w:num>
  <w:num w:numId="9">
    <w:abstractNumId w:val="2770895"/>
  </w:num>
  <w:num w:numId="10">
    <w:abstractNumId w:val="2770896"/>
  </w:num>
  <w:num w:numId="11">
    <w:abstractNumId w:val="2770897"/>
  </w:num>
  <w:num w:numId="12">
    <w:abstractNumId w:val="2770898"/>
  </w:num>
  <w:num w:numId="13">
    <w:abstractNumId w:val="2770899"/>
  </w:num>
  <w:num w:numId="14">
    <w:abstractNumId w:val="2770900"/>
  </w:num>
  <w:num w:numId="15">
    <w:abstractNumId w:val="2770901"/>
  </w:num>
  <w:num w:numId="16">
    <w:abstractNumId w:val="2770902"/>
  </w:num>
  <w:num w:numId="17">
    <w:abstractNumId w:val="2770903"/>
  </w:num>
  <w:num w:numId="18">
    <w:abstractNumId w:val="2770904"/>
  </w:num>
  <w:num w:numId="19">
    <w:abstractNumId w:val="2770905"/>
  </w:num>
  <w:num w:numId="20">
    <w:abstractNumId w:val="2770906"/>
  </w:num>
  <w:num w:numId="21">
    <w:abstractNumId w:val="2770907"/>
  </w:num>
  <w:num w:numId="22">
    <w:abstractNumId w:val="2770908"/>
  </w:num>
  <w:num w:numId="23">
    <w:abstractNumId w:val="27709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ewhope1982.feishu.cn/wiki/M4Eawk5gCiXxo1kboFUczpQWnmg#share-Xx3IdyklloEM3ZxVADecswMdnGD" TargetMode="External" Type="http://schemas.openxmlformats.org/officeDocument/2006/relationships/hyperlink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2025-12-30T09:29:37Z</dcterms:created>
  <dc:creator>Apache POI</dc:creator>
</cp:coreProperties>
</file>