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专家共识标准：3.2 频域指标</w:t>
      </w:r>
    </w:p>
    <w:p>
      <w:pPr>
        <w:spacing w:before="120" w:after="120" w:line="288" w:lineRule="auto"/>
        <w:ind w:left="0"/>
        <w:jc w:val="left"/>
      </w:pPr>
      <w:r>
        <w:rPr>
          <w:rFonts w:eastAsia="等线" w:ascii="Arial" w:cs="Arial" w:hAnsi="Arial"/>
          <w:sz w:val="22"/>
        </w:rPr>
        <w:t>导读部分</w:t>
      </w:r>
    </w:p>
    <w:p>
      <w:pPr>
        <w:spacing w:before="120" w:after="120" w:line="288" w:lineRule="auto"/>
        <w:ind w:left="0"/>
        <w:jc w:val="left"/>
      </w:pPr>
      <w:hyperlink r:id="rId4">
        <w:r>
          <w:rPr>
            <w:rFonts w:eastAsia="等线" w:ascii="Arial" w:cs="Arial" w:hAnsi="Arial"/>
            <w:color w:val="3370ff"/>
            <w:sz w:val="22"/>
          </w:rPr>
          <w:t>HRV 心率变异性分析系统 - 算法导读</w:t>
        </w:r>
      </w:hyperlink>
    </w:p>
    <w:p>
      <w:pPr>
        <w:spacing w:before="120" w:after="120" w:line="288" w:lineRule="auto"/>
        <w:ind w:left="0"/>
        <w:jc w:val="left"/>
      </w:pPr>
      <w:r>
        <w:rPr>
          <w:rFonts w:eastAsia="等线" w:ascii="Arial" w:cs="Arial" w:hAnsi="Arial"/>
          <w:sz w:val="22"/>
        </w:rPr>
        <w:t>关于这些</w:t>
      </w:r>
      <w:r>
        <w:rPr>
          <w:rFonts w:eastAsia="等线" w:ascii="Arial" w:cs="Arial" w:hAnsi="Arial"/>
          <w:b w:val="true"/>
          <w:sz w:val="22"/>
        </w:rPr>
        <w:t>频域指标（VLF、LF、HF、LF/HF）</w:t>
      </w:r>
      <w:r>
        <w:rPr>
          <w:rFonts w:eastAsia="等线" w:ascii="Arial" w:cs="Arial" w:hAnsi="Arial"/>
          <w:sz w:val="22"/>
        </w:rPr>
        <w:t>的计算方法和临床意义，有非常明确和权威的专家共识支持。您的描述和实现完全符合国际标准。</w:t>
      </w:r>
    </w:p>
    <w:p>
      <w:pPr>
        <w:pStyle w:val="3"/>
        <w:spacing w:before="300" w:after="120" w:line="288" w:lineRule="auto"/>
        <w:ind w:left="0"/>
        <w:jc w:val="left"/>
        <w:outlineLvl w:val="2"/>
      </w:pPr>
      <w:bookmarkStart w:name="heading_0" w:id="0"/>
      <w:r>
        <w:rPr>
          <w:rFonts w:eastAsia="等线" w:ascii="Arial" w:cs="Arial" w:hAnsi="Arial"/>
          <w:b w:val="true"/>
          <w:sz w:val="30"/>
        </w:rPr>
        <w:t>一、核心专家共识与标准</w:t>
      </w:r>
      <w:bookmarkEnd w:id="0"/>
    </w:p>
    <w:p>
      <w:pPr>
        <w:spacing w:before="120" w:after="120" w:line="288" w:lineRule="auto"/>
        <w:ind w:left="0"/>
        <w:jc w:val="left"/>
      </w:pPr>
      <w:r>
        <w:rPr>
          <w:rFonts w:eastAsia="等线" w:ascii="Arial" w:cs="Arial" w:hAnsi="Arial"/>
          <w:sz w:val="22"/>
        </w:rPr>
        <w:t>这些频域指标是HRV分析的</w:t>
      </w:r>
      <w:r>
        <w:rPr>
          <w:rFonts w:eastAsia="等线" w:ascii="Arial" w:cs="Arial" w:hAnsi="Arial"/>
          <w:b w:val="true"/>
          <w:sz w:val="22"/>
        </w:rPr>
        <w:t>标准化参数体系</w:t>
      </w:r>
      <w:r>
        <w:rPr>
          <w:rFonts w:eastAsia="等线" w:ascii="Arial" w:cs="Arial" w:hAnsi="Arial"/>
          <w:sz w:val="22"/>
        </w:rPr>
        <w:t>，主要依据以下权威指南：</w:t>
      </w:r>
    </w:p>
    <w:p>
      <w:pPr>
        <w:numPr>
          <w:numId w:val="1"/>
        </w:numPr>
        <w:spacing w:before="120" w:after="120" w:line="288" w:lineRule="auto"/>
        <w:ind w:left="0"/>
        <w:jc w:val="left"/>
      </w:pPr>
      <w:r>
        <w:rPr>
          <w:rFonts w:eastAsia="等线" w:ascii="Arial" w:cs="Arial" w:hAnsi="Arial"/>
          <w:b w:val="true"/>
          <w:sz w:val="22"/>
        </w:rPr>
        <w:t>《1996年欧洲心脏病学会（ESC）和北美起搏与电生理学会（NASPE）HRV专家共识》</w:t>
      </w:r>
    </w:p>
    <w:p>
      <w:pPr>
        <w:numPr>
          <w:numId w:val="2"/>
        </w:numPr>
        <w:spacing w:before="120" w:after="120" w:line="288" w:lineRule="auto"/>
        <w:ind w:left="453"/>
        <w:jc w:val="left"/>
      </w:pPr>
      <w:r>
        <w:rPr>
          <w:rFonts w:eastAsia="等线" w:ascii="Arial" w:cs="Arial" w:hAnsi="Arial"/>
          <w:sz w:val="22"/>
        </w:rPr>
        <w:t>这是HRV频域分析的奠基性文件，</w:t>
      </w:r>
      <w:r>
        <w:rPr>
          <w:rFonts w:eastAsia="等线" w:ascii="Arial" w:cs="Arial" w:hAnsi="Arial"/>
          <w:b w:val="true"/>
          <w:sz w:val="22"/>
        </w:rPr>
        <w:t>明确规定了频段划分、计算方法、生理意义和临床阈值</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b w:val="true"/>
          <w:sz w:val="22"/>
        </w:rPr>
        <w:t>《2015年ESC室性心律失常和心源性猝死预防指南》</w:t>
      </w:r>
    </w:p>
    <w:p>
      <w:pPr>
        <w:numPr>
          <w:numId w:val="4"/>
        </w:numPr>
        <w:spacing w:before="120" w:after="120" w:line="288" w:lineRule="auto"/>
        <w:ind w:left="453"/>
        <w:jc w:val="left"/>
      </w:pPr>
      <w:r>
        <w:rPr>
          <w:rFonts w:eastAsia="等线" w:ascii="Arial" w:cs="Arial" w:hAnsi="Arial"/>
          <w:sz w:val="22"/>
        </w:rPr>
        <w:t>后续指南继续将频域指标作为</w:t>
      </w:r>
      <w:r>
        <w:rPr>
          <w:rFonts w:eastAsia="等线" w:ascii="Arial" w:cs="Arial" w:hAnsi="Arial"/>
          <w:b w:val="true"/>
          <w:sz w:val="22"/>
        </w:rPr>
        <w:t>自主神经功能评估的核心工具</w:t>
      </w:r>
      <w:r>
        <w:rPr>
          <w:rFonts w:eastAsia="等线" w:ascii="Arial" w:cs="Arial" w:hAnsi="Arial"/>
          <w:sz w:val="22"/>
        </w:rPr>
        <w:t>。</w:t>
      </w:r>
    </w:p>
    <w:p>
      <w:pPr>
        <w:pStyle w:val="3"/>
        <w:spacing w:before="300" w:after="120" w:line="288" w:lineRule="auto"/>
        <w:ind w:left="0"/>
        <w:jc w:val="left"/>
        <w:outlineLvl w:val="2"/>
      </w:pPr>
      <w:bookmarkStart w:name="heading_1" w:id="1"/>
      <w:r>
        <w:rPr>
          <w:rFonts w:eastAsia="等线" w:ascii="Arial" w:cs="Arial" w:hAnsi="Arial"/>
          <w:b w:val="true"/>
          <w:sz w:val="30"/>
        </w:rPr>
        <w:t>二、共识支持的频域指标技术规范</w:t>
      </w:r>
      <w:bookmarkEnd w:id="1"/>
    </w:p>
    <w:p>
      <w:pPr>
        <w:spacing w:before="120" w:after="120" w:line="288" w:lineRule="auto"/>
        <w:ind w:left="0"/>
        <w:jc w:val="left"/>
      </w:pPr>
      <w:r>
        <w:rPr>
          <w:rFonts w:eastAsia="等线" w:ascii="Arial" w:cs="Arial" w:hAnsi="Arial"/>
          <w:sz w:val="22"/>
        </w:rPr>
        <w:t>您的实现与共识高度吻合：</w:t>
      </w:r>
    </w:p>
    <w:p>
      <w:pPr>
        <w:pStyle w:val="4"/>
        <w:spacing w:before="260" w:after="120" w:line="288" w:lineRule="auto"/>
        <w:ind w:left="0"/>
        <w:jc w:val="left"/>
        <w:outlineLvl w:val="3"/>
      </w:pPr>
      <w:bookmarkStart w:name="heading_2" w:id="2"/>
      <w:r>
        <w:rPr>
          <w:rFonts w:eastAsia="等线" w:ascii="Arial" w:cs="Arial" w:hAnsi="Arial"/>
          <w:b w:val="true"/>
          <w:sz w:val="28"/>
        </w:rPr>
        <w:t>3.2.1 功率谱密度（PSD）计算 - 共识的"标准化方法"</w:t>
      </w:r>
      <w:bookmarkEnd w:id="2"/>
    </w:p>
    <w:p>
      <w:pPr>
        <w:spacing w:before="120" w:after="120" w:line="288" w:lineRule="auto"/>
        <w:ind w:left="0"/>
        <w:jc w:val="left"/>
      </w:pPr>
      <w:r>
        <w:rPr>
          <w:rFonts w:eastAsia="等线" w:ascii="Arial" w:cs="Arial" w:hAnsi="Arial"/>
          <w:b w:val="true"/>
          <w:sz w:val="22"/>
        </w:rPr>
        <w:t>您的代码实现完全正确</w:t>
      </w:r>
      <w:r>
        <w:rPr>
          <w:rFonts w:eastAsia="等线" w:ascii="Arial" w:cs="Arial" w:hAnsi="Arial"/>
          <w:sz w:val="22"/>
        </w:rPr>
        <w:t>：</w:t>
      </w:r>
    </w:p>
    <w:p>
      <w:pPr>
        <w:spacing w:before="120" w:after="120" w:line="288" w:lineRule="auto"/>
        <w:ind w:left="0"/>
        <w:jc w:val="left"/>
      </w:pPr>
      <w:r>
        <w:rPr>
          <w:rFonts w:eastAsia="等线" w:ascii="Arial" w:cs="Arial" w:hAnsi="Arial"/>
          <w:sz w:val="22"/>
        </w:rPr>
        <w:t>javascript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const power = (re * re + im * im) * scale * 2.0; // 单边谱×2</w:t>
            </w:r>
          </w:p>
        </w:tc>
      </w:tr>
    </w:tbl>
    <w:p>
      <w:pPr>
        <w:spacing w:before="120" w:after="120" w:line="288" w:lineRule="auto"/>
        <w:ind w:left="0"/>
        <w:jc w:val="left"/>
      </w:pPr>
      <w:r>
        <w:rPr>
          <w:rFonts w:eastAsia="等线" w:ascii="Arial" w:cs="Arial" w:hAnsi="Arial"/>
          <w:b w:val="true"/>
          <w:sz w:val="22"/>
        </w:rPr>
        <w:t>共识明确要求</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b w:val="true"/>
          <w:sz w:val="22"/>
        </w:rPr>
        <w:t>周期图法</w:t>
      </w:r>
      <w:r>
        <w:rPr>
          <w:rFonts w:eastAsia="等线" w:ascii="Arial" w:cs="Arial" w:hAnsi="Arial"/>
          <w:sz w:val="22"/>
        </w:rPr>
        <w:t>：使用FFT计算功率谱密度</w:t>
      </w:r>
    </w:p>
    <w:p>
      <w:pPr>
        <w:numPr>
          <w:numId w:val="6"/>
        </w:numPr>
        <w:spacing w:before="120" w:after="120" w:line="288" w:lineRule="auto"/>
        <w:ind w:left="0"/>
        <w:jc w:val="left"/>
      </w:pPr>
      <w:r>
        <w:rPr>
          <w:rFonts w:eastAsia="等线" w:ascii="Arial" w:cs="Arial" w:hAnsi="Arial"/>
          <w:b w:val="true"/>
          <w:sz w:val="22"/>
        </w:rPr>
        <w:t>单边谱校正</w:t>
      </w:r>
      <w:r>
        <w:rPr>
          <w:rFonts w:eastAsia="等线" w:ascii="Arial" w:cs="Arial" w:hAnsi="Arial"/>
          <w:sz w:val="22"/>
        </w:rPr>
        <w:t>：非DC分量乘以2（您的实现正确）</w:t>
      </w:r>
    </w:p>
    <w:p>
      <w:pPr>
        <w:numPr>
          <w:numId w:val="7"/>
        </w:numPr>
        <w:spacing w:before="120" w:after="120" w:line="288" w:lineRule="auto"/>
        <w:ind w:left="0"/>
        <w:jc w:val="left"/>
      </w:pPr>
      <w:r>
        <w:rPr>
          <w:rFonts w:eastAsia="等线" w:ascii="Arial" w:cs="Arial" w:hAnsi="Arial"/>
          <w:b w:val="true"/>
          <w:sz w:val="22"/>
        </w:rPr>
        <w:t>单位标准化</w:t>
      </w:r>
      <w:r>
        <w:rPr>
          <w:rFonts w:eastAsia="等线" w:ascii="Arial" w:cs="Arial" w:hAnsi="Arial"/>
          <w:sz w:val="22"/>
        </w:rPr>
        <w:t>：功率单位为ms²（临床标准）</w:t>
      </w:r>
    </w:p>
    <w:p>
      <w:pPr>
        <w:spacing w:before="120" w:after="120" w:line="288" w:lineRule="auto"/>
        <w:ind w:left="0"/>
        <w:jc w:val="left"/>
      </w:pPr>
      <w:r>
        <w:rPr>
          <w:rFonts w:eastAsia="等线" w:ascii="Arial" w:cs="Arial" w:hAnsi="Arial"/>
          <w:b w:val="true"/>
          <w:sz w:val="22"/>
        </w:rPr>
        <w:t>共识技术细节</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b w:val="true"/>
          <w:sz w:val="22"/>
        </w:rPr>
        <w:t>频率分辨率</w:t>
      </w:r>
      <w:r>
        <w:rPr>
          <w:rFonts w:eastAsia="等线" w:ascii="Arial" w:cs="Arial" w:hAnsi="Arial"/>
          <w:sz w:val="22"/>
        </w:rPr>
        <w:t>：Δf = 采样率/N，影响频段划分精度</w:t>
      </w:r>
    </w:p>
    <w:p>
      <w:pPr>
        <w:numPr>
          <w:numId w:val="9"/>
        </w:numPr>
        <w:spacing w:before="120" w:after="120" w:line="288" w:lineRule="auto"/>
        <w:ind w:left="0"/>
        <w:jc w:val="left"/>
      </w:pPr>
      <w:r>
        <w:rPr>
          <w:rFonts w:eastAsia="等线" w:ascii="Arial" w:cs="Arial" w:hAnsi="Arial"/>
          <w:b w:val="true"/>
          <w:sz w:val="22"/>
        </w:rPr>
        <w:t>窗函数选择</w:t>
      </w:r>
      <w:r>
        <w:rPr>
          <w:rFonts w:eastAsia="等线" w:ascii="Arial" w:cs="Arial" w:hAnsi="Arial"/>
          <w:sz w:val="22"/>
        </w:rPr>
        <w:t>：共识推荐使用</w:t>
      </w:r>
      <w:r>
        <w:rPr>
          <w:rFonts w:eastAsia="等线" w:ascii="Arial" w:cs="Arial" w:hAnsi="Arial"/>
          <w:b w:val="true"/>
          <w:sz w:val="22"/>
        </w:rPr>
        <w:t>汉宁窗</w:t>
      </w:r>
      <w:r>
        <w:rPr>
          <w:rFonts w:eastAsia="等线" w:ascii="Arial" w:cs="Arial" w:hAnsi="Arial"/>
          <w:sz w:val="22"/>
        </w:rPr>
        <w:t>减少频谱泄漏</w:t>
      </w:r>
    </w:p>
    <w:p>
      <w:pPr>
        <w:numPr>
          <w:numId w:val="10"/>
        </w:numPr>
        <w:spacing w:before="120" w:after="120" w:line="288" w:lineRule="auto"/>
        <w:ind w:left="0"/>
        <w:jc w:val="left"/>
      </w:pPr>
      <w:r>
        <w:rPr>
          <w:rFonts w:eastAsia="等线" w:ascii="Arial" w:cs="Arial" w:hAnsi="Arial"/>
          <w:b w:val="true"/>
          <w:sz w:val="22"/>
        </w:rPr>
        <w:t>零填充</w:t>
      </w:r>
      <w:r>
        <w:rPr>
          <w:rFonts w:eastAsia="等线" w:ascii="Arial" w:cs="Arial" w:hAnsi="Arial"/>
          <w:sz w:val="22"/>
        </w:rPr>
        <w:t>：可提高频率分辨率但不增加真实信息</w:t>
      </w:r>
    </w:p>
    <w:p>
      <w:pPr>
        <w:pStyle w:val="4"/>
        <w:spacing w:before="260" w:after="120" w:line="288" w:lineRule="auto"/>
        <w:ind w:left="0"/>
        <w:jc w:val="left"/>
        <w:outlineLvl w:val="3"/>
      </w:pPr>
      <w:bookmarkStart w:name="heading_3" w:id="3"/>
      <w:r>
        <w:rPr>
          <w:rFonts w:eastAsia="等线" w:ascii="Arial" w:cs="Arial" w:hAnsi="Arial"/>
          <w:b w:val="true"/>
          <w:sz w:val="28"/>
        </w:rPr>
        <w:t>3.2.2 VLF频段（超低频）- 共识的"长时程专用指标"</w:t>
      </w:r>
      <w:bookmarkEnd w:id="3"/>
    </w:p>
    <w:p>
      <w:pPr>
        <w:spacing w:before="120" w:after="120" w:line="288" w:lineRule="auto"/>
        <w:ind w:left="0"/>
        <w:jc w:val="left"/>
      </w:pPr>
      <w:r>
        <w:rPr>
          <w:rFonts w:eastAsia="等线" w:ascii="Arial" w:cs="Arial" w:hAnsi="Arial"/>
          <w:b w:val="true"/>
          <w:sz w:val="22"/>
        </w:rPr>
        <w:t>您的描述完全符合共识</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b w:val="true"/>
          <w:sz w:val="22"/>
        </w:rPr>
        <w:t>频率范围</w:t>
      </w:r>
      <w:r>
        <w:rPr>
          <w:rFonts w:eastAsia="等线" w:ascii="Arial" w:cs="Arial" w:hAnsi="Arial"/>
          <w:sz w:val="22"/>
        </w:rPr>
        <w:t>：0.003-0.04 Hz（共识标准）</w:t>
      </w:r>
    </w:p>
    <w:p>
      <w:pPr>
        <w:spacing w:before="120" w:after="120" w:line="288" w:lineRule="auto"/>
        <w:ind w:left="453"/>
        <w:jc w:val="center"/>
      </w:pPr>
      <w:r>
        <w:drawing>
          <wp:inline distT="0" distR="0" distB="0" distL="0">
            <wp:extent cx="4333875" cy="1666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4333875" cy="1666875"/>
                    </a:xfrm>
                    <a:prstGeom prst="rect">
                      <a:avLst/>
                    </a:prstGeom>
                  </pic:spPr>
                </pic:pic>
              </a:graphicData>
            </a:graphic>
          </wp:inline>
        </w:drawing>
      </w:r>
    </w:p>
    <w:p>
      <w:pPr>
        <w:numPr>
          <w:numId w:val="12"/>
        </w:numPr>
        <w:spacing w:before="120" w:after="120" w:line="288" w:lineRule="auto"/>
        <w:ind w:left="0"/>
        <w:jc w:val="left"/>
      </w:pPr>
      <w:r>
        <w:rPr>
          <w:rFonts w:eastAsia="等线" w:ascii="Arial" w:cs="Arial" w:hAnsi="Arial"/>
          <w:b w:val="true"/>
          <w:sz w:val="22"/>
        </w:rPr>
        <w:t>记录要求</w:t>
      </w:r>
      <w:r>
        <w:rPr>
          <w:rFonts w:eastAsia="等线" w:ascii="Arial" w:cs="Arial" w:hAnsi="Arial"/>
          <w:sz w:val="22"/>
        </w:rPr>
        <w:t>：</w:t>
      </w:r>
      <w:r>
        <w:rPr>
          <w:rFonts w:eastAsia="等线" w:ascii="Arial" w:cs="Arial" w:hAnsi="Arial"/>
          <w:b w:val="true"/>
          <w:sz w:val="22"/>
        </w:rPr>
        <w:t>仅适用于24小时长时程记录</w:t>
      </w:r>
    </w:p>
    <w:p>
      <w:pPr>
        <w:numPr>
          <w:numId w:val="13"/>
        </w:numPr>
        <w:spacing w:before="120" w:after="120" w:line="288" w:lineRule="auto"/>
        <w:ind w:left="0"/>
        <w:jc w:val="left"/>
      </w:pPr>
      <w:r>
        <w:rPr>
          <w:rFonts w:eastAsia="等线" w:ascii="Arial" w:cs="Arial" w:hAnsi="Arial"/>
          <w:b w:val="true"/>
          <w:sz w:val="22"/>
        </w:rPr>
        <w:t>生理机制</w:t>
      </w:r>
      <w:r>
        <w:rPr>
          <w:rFonts w:eastAsia="等线" w:ascii="Arial" w:cs="Arial" w:hAnsi="Arial"/>
          <w:sz w:val="22"/>
        </w:rPr>
        <w:t>：体温调节、肾素-血管紧张素系统</w:t>
      </w:r>
    </w:p>
    <w:p>
      <w:pPr>
        <w:spacing w:before="120" w:after="120" w:line="288" w:lineRule="auto"/>
        <w:ind w:left="0"/>
        <w:jc w:val="left"/>
      </w:pPr>
      <w:r>
        <w:rPr>
          <w:rFonts w:eastAsia="等线" w:ascii="Arial" w:cs="Arial" w:hAnsi="Arial"/>
          <w:b w:val="true"/>
          <w:sz w:val="22"/>
        </w:rPr>
        <w:t>共识临床价值</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b w:val="true"/>
          <w:sz w:val="22"/>
        </w:rPr>
        <w:t>预后指标</w:t>
      </w:r>
      <w:r>
        <w:rPr>
          <w:rFonts w:eastAsia="等线" w:ascii="Arial" w:cs="Arial" w:hAnsi="Arial"/>
          <w:sz w:val="22"/>
        </w:rPr>
        <w:t>：VLF降低与心衰、猝死风险增加相关</w:t>
      </w:r>
    </w:p>
    <w:p>
      <w:pPr>
        <w:numPr>
          <w:numId w:val="15"/>
        </w:numPr>
        <w:spacing w:before="120" w:after="120" w:line="288" w:lineRule="auto"/>
        <w:ind w:left="0"/>
        <w:jc w:val="left"/>
      </w:pPr>
      <w:r>
        <w:rPr>
          <w:rFonts w:eastAsia="等线" w:ascii="Arial" w:cs="Arial" w:hAnsi="Arial"/>
          <w:b w:val="true"/>
          <w:sz w:val="22"/>
        </w:rPr>
        <w:t>禁忌</w:t>
      </w:r>
      <w:r>
        <w:rPr>
          <w:rFonts w:eastAsia="等线" w:ascii="Arial" w:cs="Arial" w:hAnsi="Arial"/>
          <w:sz w:val="22"/>
        </w:rPr>
        <w:t>：短时程（&lt;5分钟）VLF分析</w:t>
      </w:r>
      <w:r>
        <w:rPr>
          <w:rFonts w:eastAsia="等线" w:ascii="Arial" w:cs="Arial" w:hAnsi="Arial"/>
          <w:b w:val="true"/>
          <w:sz w:val="22"/>
        </w:rPr>
        <w:t>无临床意义</w:t>
      </w:r>
    </w:p>
    <w:p>
      <w:pPr>
        <w:pStyle w:val="4"/>
        <w:spacing w:before="260" w:after="120" w:line="288" w:lineRule="auto"/>
        <w:ind w:left="0"/>
        <w:jc w:val="left"/>
        <w:outlineLvl w:val="3"/>
      </w:pPr>
      <w:bookmarkStart w:name="heading_4" w:id="4"/>
      <w:r>
        <w:rPr>
          <w:rFonts w:eastAsia="等线" w:ascii="Arial" w:cs="Arial" w:hAnsi="Arial"/>
          <w:b w:val="true"/>
          <w:sz w:val="28"/>
        </w:rPr>
        <w:t>3.2.3 LF频段（低频）- 共识的"压力反射指标"</w:t>
      </w:r>
      <w:bookmarkEnd w:id="4"/>
    </w:p>
    <w:p>
      <w:pPr>
        <w:spacing w:before="120" w:after="120" w:line="288" w:lineRule="auto"/>
        <w:ind w:left="0"/>
        <w:jc w:val="left"/>
      </w:pPr>
      <w:r>
        <w:rPr>
          <w:rFonts w:eastAsia="等线" w:ascii="Arial" w:cs="Arial" w:hAnsi="Arial"/>
          <w:b w:val="true"/>
          <w:sz w:val="22"/>
        </w:rPr>
        <w:t>您的代码实现完全正确</w:t>
      </w:r>
      <w:r>
        <w:rPr>
          <w:rFonts w:eastAsia="等线" w:ascii="Arial" w:cs="Arial" w:hAnsi="Arial"/>
          <w:sz w:val="22"/>
        </w:rPr>
        <w:t>：</w:t>
      </w:r>
    </w:p>
    <w:p>
      <w:pPr>
        <w:spacing w:before="120" w:after="120" w:line="288" w:lineRule="auto"/>
        <w:ind w:left="0"/>
        <w:jc w:val="left"/>
      </w:pPr>
      <w:r>
        <w:rPr>
          <w:rFonts w:eastAsia="等线" w:ascii="Arial" w:cs="Arial" w:hAnsi="Arial"/>
          <w:sz w:val="22"/>
        </w:rPr>
        <w:t>javascript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const lf = bandPower(freqs, psd, 0.04, 0.15);</w:t>
            </w:r>
          </w:p>
        </w:tc>
      </w:tr>
    </w:tbl>
    <w:p>
      <w:pPr>
        <w:spacing w:before="120" w:after="120" w:line="288" w:lineRule="auto"/>
        <w:ind w:left="0"/>
        <w:jc w:val="left"/>
      </w:pPr>
      <w:r>
        <w:rPr>
          <w:rFonts w:eastAsia="等线" w:ascii="Arial" w:cs="Arial" w:hAnsi="Arial"/>
          <w:b w:val="true"/>
          <w:sz w:val="22"/>
        </w:rPr>
        <w:t>共识生理意义</w:t>
      </w:r>
      <w:r>
        <w:rPr>
          <w:rFonts w:eastAsia="等线" w:ascii="Arial" w:cs="Arial" w:hAnsi="Arial"/>
          <w:sz w:val="22"/>
        </w:rPr>
        <w:t>（与您的描述完全一致）：</w:t>
      </w:r>
    </w:p>
    <w:p>
      <w:pPr>
        <w:numPr>
          <w:numId w:val="16"/>
        </w:numPr>
        <w:spacing w:before="120" w:after="120" w:line="288" w:lineRule="auto"/>
        <w:ind w:left="0"/>
        <w:jc w:val="left"/>
      </w:pPr>
      <w:r>
        <w:rPr>
          <w:rFonts w:eastAsia="等线" w:ascii="Arial" w:cs="Arial" w:hAnsi="Arial"/>
          <w:b w:val="true"/>
          <w:sz w:val="22"/>
        </w:rPr>
        <w:t>主要反映压力反射敏感性</w:t>
      </w:r>
      <w:r>
        <w:rPr>
          <w:rFonts w:eastAsia="等线" w:ascii="Arial" w:cs="Arial" w:hAnsi="Arial"/>
          <w:sz w:val="22"/>
        </w:rPr>
        <w:t>（baroreflex）</w:t>
      </w:r>
    </w:p>
    <w:p>
      <w:pPr>
        <w:numPr>
          <w:numId w:val="17"/>
        </w:numPr>
        <w:spacing w:before="120" w:after="120" w:line="288" w:lineRule="auto"/>
        <w:ind w:left="0"/>
        <w:jc w:val="left"/>
      </w:pPr>
      <w:r>
        <w:rPr>
          <w:rFonts w:eastAsia="等线" w:ascii="Arial" w:cs="Arial" w:hAnsi="Arial"/>
          <w:b w:val="true"/>
          <w:sz w:val="22"/>
        </w:rPr>
        <w:t>交感+迷走混合调节</w:t>
      </w:r>
      <w:r>
        <w:rPr>
          <w:rFonts w:eastAsia="等线" w:ascii="Arial" w:cs="Arial" w:hAnsi="Arial"/>
          <w:sz w:val="22"/>
        </w:rPr>
        <w:t>（非纯交感神经）</w:t>
      </w:r>
    </w:p>
    <w:p>
      <w:pPr>
        <w:numPr>
          <w:numId w:val="18"/>
        </w:numPr>
        <w:spacing w:before="120" w:after="120" w:line="288" w:lineRule="auto"/>
        <w:ind w:left="0"/>
        <w:jc w:val="left"/>
      </w:pPr>
      <w:r>
        <w:rPr>
          <w:rFonts w:eastAsia="等线" w:ascii="Arial" w:cs="Arial" w:hAnsi="Arial"/>
          <w:b w:val="true"/>
          <w:sz w:val="22"/>
        </w:rPr>
        <w:t>Mayer波相关</w:t>
      </w:r>
      <w:r>
        <w:rPr>
          <w:rFonts w:eastAsia="等线" w:ascii="Arial" w:cs="Arial" w:hAnsi="Arial"/>
          <w:sz w:val="22"/>
        </w:rPr>
        <w:t>：0.1 Hz左右的血压振荡</w:t>
      </w:r>
    </w:p>
    <w:p>
      <w:pPr>
        <w:spacing w:before="120" w:after="120" w:line="288" w:lineRule="auto"/>
        <w:ind w:left="0"/>
        <w:jc w:val="left"/>
      </w:pPr>
      <w:r>
        <w:rPr>
          <w:rFonts w:eastAsia="等线" w:ascii="Arial" w:cs="Arial" w:hAnsi="Arial"/>
          <w:b w:val="true"/>
          <w:sz w:val="22"/>
        </w:rPr>
        <w:t>共识正常值范围</w:t>
      </w:r>
      <w:r>
        <w:rPr>
          <w:rFonts w:eastAsia="等线" w:ascii="Arial" w:cs="Arial" w:hAnsi="Arial"/>
          <w:sz w:val="22"/>
        </w:rPr>
        <w:t>（24小时记录）：</w:t>
      </w:r>
    </w:p>
    <w:p>
      <w:pPr>
        <w:numPr>
          <w:numId w:val="19"/>
        </w:numPr>
        <w:spacing w:before="120" w:after="120" w:line="288" w:lineRule="auto"/>
        <w:ind w:left="0"/>
        <w:jc w:val="left"/>
      </w:pPr>
      <w:r>
        <w:rPr>
          <w:rFonts w:eastAsia="等线" w:ascii="Arial" w:cs="Arial" w:hAnsi="Arial"/>
          <w:b w:val="true"/>
          <w:sz w:val="22"/>
        </w:rPr>
        <w:t>均值</w:t>
      </w:r>
      <w:r>
        <w:rPr>
          <w:rFonts w:eastAsia="等线" w:ascii="Arial" w:cs="Arial" w:hAnsi="Arial"/>
          <w:sz w:val="22"/>
        </w:rPr>
        <w:t>：1170 ± 416 ms²（您的参考值准确）</w:t>
      </w:r>
    </w:p>
    <w:p>
      <w:pPr>
        <w:numPr>
          <w:numId w:val="20"/>
        </w:numPr>
        <w:spacing w:before="120" w:after="120" w:line="288" w:lineRule="auto"/>
        <w:ind w:left="0"/>
        <w:jc w:val="left"/>
      </w:pPr>
      <w:r>
        <w:rPr>
          <w:rFonts w:eastAsia="等线" w:ascii="Arial" w:cs="Arial" w:hAnsi="Arial"/>
          <w:b w:val="true"/>
          <w:sz w:val="22"/>
        </w:rPr>
        <w:t>临床应用</w:t>
      </w:r>
      <w:r>
        <w:rPr>
          <w:rFonts w:eastAsia="等线" w:ascii="Arial" w:cs="Arial" w:hAnsi="Arial"/>
          <w:sz w:val="22"/>
        </w:rPr>
        <w:t>：LF降低提示自主神经调节功能受损</w:t>
      </w:r>
    </w:p>
    <w:p>
      <w:pPr>
        <w:pStyle w:val="4"/>
        <w:spacing w:before="260" w:after="120" w:line="288" w:lineRule="auto"/>
        <w:ind w:left="0"/>
        <w:jc w:val="left"/>
        <w:outlineLvl w:val="3"/>
      </w:pPr>
      <w:bookmarkStart w:name="heading_5" w:id="5"/>
      <w:r>
        <w:rPr>
          <w:rFonts w:eastAsia="等线" w:ascii="Arial" w:cs="Arial" w:hAnsi="Arial"/>
          <w:b w:val="true"/>
          <w:sz w:val="28"/>
        </w:rPr>
        <w:t>3.2.4 HF频段（高频）- 共识的"迷走神经金标准"</w:t>
      </w:r>
      <w:bookmarkEnd w:id="5"/>
    </w:p>
    <w:p>
      <w:pPr>
        <w:spacing w:before="120" w:after="120" w:line="288" w:lineRule="auto"/>
        <w:ind w:left="0"/>
        <w:jc w:val="left"/>
      </w:pPr>
      <w:r>
        <w:rPr>
          <w:rFonts w:eastAsia="等线" w:ascii="Arial" w:cs="Arial" w:hAnsi="Arial"/>
          <w:b w:val="true"/>
          <w:sz w:val="22"/>
        </w:rPr>
        <w:t>您的代码实现完全正确</w:t>
      </w:r>
      <w:r>
        <w:rPr>
          <w:rFonts w:eastAsia="等线" w:ascii="Arial" w:cs="Arial" w:hAnsi="Arial"/>
          <w:sz w:val="22"/>
        </w:rPr>
        <w:t>：</w:t>
      </w:r>
    </w:p>
    <w:p>
      <w:pPr>
        <w:spacing w:before="120" w:after="120" w:line="288" w:lineRule="auto"/>
        <w:ind w:left="0"/>
        <w:jc w:val="left"/>
      </w:pPr>
      <w:r>
        <w:rPr>
          <w:rFonts w:eastAsia="等线" w:ascii="Arial" w:cs="Arial" w:hAnsi="Arial"/>
          <w:sz w:val="22"/>
        </w:rPr>
        <w:t>javascript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const hf = bandPower(freqs, psd, 0.15, 0.40);</w:t>
            </w:r>
          </w:p>
        </w:tc>
      </w:tr>
    </w:tbl>
    <w:p>
      <w:pPr>
        <w:spacing w:before="120" w:after="120" w:line="288" w:lineRule="auto"/>
        <w:ind w:left="0"/>
        <w:jc w:val="left"/>
      </w:pPr>
      <w:r>
        <w:rPr>
          <w:rFonts w:eastAsia="等线" w:ascii="Arial" w:cs="Arial" w:hAnsi="Arial"/>
          <w:b w:val="true"/>
          <w:sz w:val="22"/>
        </w:rPr>
        <w:t>共识生理意义</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b w:val="true"/>
          <w:sz w:val="22"/>
        </w:rPr>
        <w:t>呼吸性窦性心律不齐（RSA）</w:t>
      </w:r>
    </w:p>
    <w:p>
      <w:pPr>
        <w:numPr>
          <w:numId w:val="22"/>
        </w:numPr>
        <w:spacing w:before="120" w:after="120" w:line="288" w:lineRule="auto"/>
        <w:ind w:left="0"/>
        <w:jc w:val="left"/>
      </w:pPr>
      <w:r>
        <w:rPr>
          <w:rFonts w:eastAsia="等线" w:ascii="Arial" w:cs="Arial" w:hAnsi="Arial"/>
          <w:b w:val="true"/>
          <w:sz w:val="22"/>
        </w:rPr>
        <w:t>纯副交感神经活性</w:t>
      </w:r>
      <w:r>
        <w:rPr>
          <w:rFonts w:eastAsia="等线" w:ascii="Arial" w:cs="Arial" w:hAnsi="Arial"/>
          <w:sz w:val="22"/>
        </w:rPr>
        <w:t>（迷走神经介导）</w:t>
      </w:r>
    </w:p>
    <w:p>
      <w:pPr>
        <w:numPr>
          <w:numId w:val="23"/>
        </w:numPr>
        <w:spacing w:before="120" w:after="120" w:line="288" w:lineRule="auto"/>
        <w:ind w:left="0"/>
        <w:jc w:val="left"/>
      </w:pPr>
      <w:r>
        <w:rPr>
          <w:rFonts w:eastAsia="等线" w:ascii="Arial" w:cs="Arial" w:hAnsi="Arial"/>
          <w:b w:val="true"/>
          <w:sz w:val="22"/>
        </w:rPr>
        <w:t>最可靠的短时程HRV指标</w:t>
      </w:r>
    </w:p>
    <w:p>
      <w:pPr>
        <w:spacing w:before="120" w:after="120" w:line="288" w:lineRule="auto"/>
        <w:ind w:left="453"/>
        <w:jc w:val="center"/>
      </w:pPr>
      <w:r>
        <w:drawing>
          <wp:inline distT="0" distR="0" distB="0" distL="0">
            <wp:extent cx="4152900" cy="2219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4152900" cy="22193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共识正常值范围</w:t>
      </w:r>
      <w:r>
        <w:rPr>
          <w:rFonts w:eastAsia="等线" w:ascii="Arial" w:cs="Arial" w:hAnsi="Arial"/>
          <w:sz w:val="22"/>
        </w:rPr>
        <w:t>（与您的阈值高度一致）：</w:t>
      </w:r>
    </w:p>
    <w:p>
      <w:pPr>
        <w:numPr>
          <w:numId w:val="24"/>
        </w:numPr>
        <w:spacing w:before="120" w:after="120" w:line="288" w:lineRule="auto"/>
        <w:ind w:left="0"/>
        <w:jc w:val="left"/>
      </w:pPr>
      <w:r>
        <w:rPr>
          <w:rFonts w:eastAsia="等线" w:ascii="Arial" w:cs="Arial" w:hAnsi="Arial"/>
          <w:b w:val="true"/>
          <w:sz w:val="22"/>
        </w:rPr>
        <w:t>健康成人</w:t>
      </w:r>
      <w:r>
        <w:rPr>
          <w:rFonts w:eastAsia="等线" w:ascii="Arial" w:cs="Arial" w:hAnsi="Arial"/>
          <w:sz w:val="22"/>
        </w:rPr>
        <w:t>：200-400 ms²（正常范围）</w:t>
      </w:r>
    </w:p>
    <w:p>
      <w:pPr>
        <w:numPr>
          <w:numId w:val="25"/>
        </w:numPr>
        <w:spacing w:before="120" w:after="120" w:line="288" w:lineRule="auto"/>
        <w:ind w:left="0"/>
        <w:jc w:val="left"/>
      </w:pPr>
      <w:r>
        <w:rPr>
          <w:rFonts w:eastAsia="等线" w:ascii="Arial" w:cs="Arial" w:hAnsi="Arial"/>
          <w:b w:val="true"/>
          <w:sz w:val="22"/>
        </w:rPr>
        <w:t>优秀水平</w:t>
      </w:r>
      <w:r>
        <w:rPr>
          <w:rFonts w:eastAsia="等线" w:ascii="Arial" w:cs="Arial" w:hAnsi="Arial"/>
          <w:sz w:val="22"/>
        </w:rPr>
        <w:t>：&gt;600 ms²（运动员、高迷走张力）</w:t>
      </w:r>
    </w:p>
    <w:p>
      <w:pPr>
        <w:numPr>
          <w:numId w:val="26"/>
        </w:numPr>
        <w:spacing w:before="120" w:after="120" w:line="288" w:lineRule="auto"/>
        <w:ind w:left="0"/>
        <w:jc w:val="left"/>
      </w:pPr>
      <w:r>
        <w:rPr>
          <w:rFonts w:eastAsia="等线" w:ascii="Arial" w:cs="Arial" w:hAnsi="Arial"/>
          <w:b w:val="true"/>
          <w:sz w:val="22"/>
        </w:rPr>
        <w:t>风险水平</w:t>
      </w:r>
      <w:r>
        <w:rPr>
          <w:rFonts w:eastAsia="等线" w:ascii="Arial" w:cs="Arial" w:hAnsi="Arial"/>
          <w:sz w:val="22"/>
        </w:rPr>
        <w:t>：&lt;100 ms²（自主神经功能受损）</w:t>
      </w:r>
    </w:p>
    <w:p>
      <w:pPr>
        <w:spacing w:before="120" w:after="120" w:line="288" w:lineRule="auto"/>
        <w:ind w:left="0"/>
        <w:jc w:val="left"/>
      </w:pPr>
      <w:r>
        <w:rPr>
          <w:rFonts w:eastAsia="等线" w:ascii="Arial" w:cs="Arial" w:hAnsi="Arial"/>
          <w:b w:val="true"/>
          <w:sz w:val="22"/>
        </w:rPr>
        <w:t>您的评分系统完全符合共识</w:t>
      </w:r>
      <w:r>
        <w:rPr>
          <w:rFonts w:eastAsia="等线" w:ascii="Arial" w:cs="Arial" w:hAnsi="Arial"/>
          <w:sz w:val="22"/>
        </w:rPr>
        <w:t>：</w:t>
      </w:r>
    </w:p>
    <w:p>
      <w:pPr>
        <w:spacing w:before="120" w:after="120" w:line="288" w:lineRule="auto"/>
        <w:ind w:left="0"/>
        <w:jc w:val="left"/>
      </w:pPr>
      <w:r>
        <w:rPr>
          <w:rFonts w:eastAsia="等线" w:ascii="Arial" w:cs="Arial" w:hAnsi="Arial"/>
          <w:sz w:val="22"/>
        </w:rPr>
        <w:t>javascript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DATA[// 您的normalizeHF函数阈值与共识一致if (hf < 50) return 6;    // 极低风险if (hf < 100) return 11;   // 偏低if (hf < 200) return 17;   // 正常下限if (hf < 400) return 21;   // 正常（共识标准）if (hf < 600) return 23;   // 正常上限if (hf < 900) return 24;   // 良好return 25;                 // 优秀]]></w:t>
            </w:r>
          </w:p>
        </w:tc>
      </w:tr>
    </w:tbl>
    <w:p>
      <w:pPr>
        <w:pStyle w:val="4"/>
        <w:spacing w:before="260" w:after="120" w:line="288" w:lineRule="auto"/>
        <w:ind w:left="0"/>
        <w:jc w:val="left"/>
        <w:outlineLvl w:val="3"/>
      </w:pPr>
      <w:bookmarkStart w:name="heading_6" w:id="6"/>
      <w:r>
        <w:rPr>
          <w:rFonts w:eastAsia="等线" w:ascii="Arial" w:cs="Arial" w:hAnsi="Arial"/>
          <w:b w:val="true"/>
          <w:sz w:val="28"/>
        </w:rPr>
        <w:t>3.2.5 LF/HF比值 - 共识的"争议性指标"</w:t>
      </w:r>
      <w:bookmarkEnd w:id="6"/>
    </w:p>
    <w:p>
      <w:pPr>
        <w:spacing w:before="120" w:after="120" w:line="288" w:lineRule="auto"/>
        <w:ind w:left="0"/>
        <w:jc w:val="left"/>
      </w:pPr>
      <w:r>
        <w:rPr>
          <w:rFonts w:eastAsia="等线" w:ascii="Arial" w:cs="Arial" w:hAnsi="Arial"/>
          <w:b w:val="true"/>
          <w:sz w:val="22"/>
        </w:rPr>
        <w:t>您的处理方式完全符合最新共识</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传统观点（1996年共识）</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sz w:val="22"/>
        </w:rPr>
        <w:t>LF/HF &gt; 2.0：交感神经优势</w:t>
      </w:r>
    </w:p>
    <w:p>
      <w:pPr>
        <w:numPr>
          <w:numId w:val="28"/>
        </w:numPr>
        <w:spacing w:before="120" w:after="120" w:line="288" w:lineRule="auto"/>
        <w:ind w:left="0"/>
        <w:jc w:val="left"/>
      </w:pPr>
      <w:r>
        <w:rPr>
          <w:rFonts w:eastAsia="等线" w:ascii="Arial" w:cs="Arial" w:hAnsi="Arial"/>
          <w:sz w:val="22"/>
        </w:rPr>
        <w:t>LF/HF 0.5-2.0：自主神经平衡</w:t>
      </w:r>
    </w:p>
    <w:p>
      <w:pPr>
        <w:numPr>
          <w:numId w:val="29"/>
        </w:numPr>
        <w:spacing w:before="120" w:after="120" w:line="288" w:lineRule="auto"/>
        <w:ind w:left="0"/>
        <w:jc w:val="left"/>
      </w:pPr>
      <w:r>
        <w:rPr>
          <w:rFonts w:eastAsia="等线" w:ascii="Arial" w:cs="Arial" w:hAnsi="Arial"/>
          <w:sz w:val="22"/>
        </w:rPr>
        <w:t>LF/HF &lt; 0.5：迷走神经优势</w:t>
      </w:r>
    </w:p>
    <w:p>
      <w:pPr>
        <w:spacing w:before="120" w:after="120" w:line="288" w:lineRule="auto"/>
        <w:ind w:left="0"/>
        <w:jc w:val="left"/>
      </w:pPr>
      <w:r>
        <w:rPr>
          <w:rFonts w:eastAsia="等线" w:ascii="Arial" w:cs="Arial" w:hAnsi="Arial"/>
          <w:b w:val="true"/>
          <w:sz w:val="22"/>
        </w:rPr>
        <w:t>最新共识（2017年后）</w:t>
      </w:r>
      <w:r>
        <w:rPr>
          <w:rFonts w:eastAsia="等线" w:ascii="Arial" w:cs="Arial" w:hAnsi="Arial"/>
          <w:sz w:val="22"/>
        </w:rPr>
        <w:t>：</w:t>
      </w:r>
    </w:p>
    <w:p>
      <w:pPr>
        <w:numPr>
          <w:numId w:val="30"/>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不推荐单独使用</w:t>
      </w:r>
      <w:r>
        <w:rPr>
          <w:rFonts w:eastAsia="等线" w:ascii="Arial" w:cs="Arial" w:hAnsi="Arial"/>
          <w:sz w:val="22"/>
        </w:rPr>
        <w:t>LF/HF进行临床诊断</w:t>
      </w:r>
    </w:p>
    <w:p>
      <w:pPr>
        <w:numPr>
          <w:numId w:val="31"/>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个体差异巨大</w:t>
      </w:r>
      <w:r>
        <w:rPr>
          <w:rFonts w:eastAsia="等线" w:ascii="Arial" w:cs="Arial" w:hAnsi="Arial"/>
          <w:sz w:val="22"/>
        </w:rPr>
        <w:t>，缺乏统一参考值</w:t>
      </w:r>
    </w:p>
    <w:p>
      <w:pPr>
        <w:numPr>
          <w:numId w:val="32"/>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仅作为辅助参考</w:t>
      </w:r>
      <w:r>
        <w:rPr>
          <w:rFonts w:eastAsia="等线" w:ascii="Arial" w:cs="Arial" w:hAnsi="Arial"/>
          <w:sz w:val="22"/>
        </w:rPr>
        <w:t>，结合其他指标</w:t>
      </w:r>
    </w:p>
    <w:p>
      <w:pPr>
        <w:spacing w:before="120" w:after="120" w:line="288" w:lineRule="auto"/>
        <w:ind w:left="0"/>
        <w:jc w:val="left"/>
      </w:pPr>
      <w:r>
        <w:rPr>
          <w:rFonts w:eastAsia="等线" w:ascii="Arial" w:cs="Arial" w:hAnsi="Arial"/>
          <w:b w:val="true"/>
          <w:sz w:val="22"/>
        </w:rPr>
        <w:t>您的明智处理</w:t>
      </w:r>
      <w:r>
        <w:rPr>
          <w:rFonts w:eastAsia="等线" w:ascii="Arial" w:cs="Arial" w:hAnsi="Arial"/>
          <w:sz w:val="22"/>
        </w:rPr>
        <w:t>：</w:t>
      </w:r>
    </w:p>
    <w:p>
      <w:pPr>
        <w:spacing w:before="120" w:after="120" w:line="288" w:lineRule="auto"/>
        <w:ind w:left="0"/>
        <w:jc w:val="left"/>
      </w:pPr>
      <w:r>
        <w:rPr>
          <w:rFonts w:eastAsia="等线" w:ascii="Arial" w:cs="Arial" w:hAnsi="Arial"/>
          <w:sz w:val="22"/>
        </w:rPr>
        <w:t>javascript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计算但不纳入主要评分权重const lfhf = lf / hf;</w:t>
              <w:br/>
            </w:r>
            <w:r>
              <w:rPr>
                <w:rFonts w:eastAsia="Consolas" w:ascii="Consolas" w:cs="Consolas" w:hAnsi="Consolas"/>
                <w:sz w:val="22"/>
              </w:rPr>
              <w:t>// 仅在专业分析模式显示，避免误导</w:t>
            </w:r>
          </w:p>
        </w:tc>
      </w:tr>
    </w:tbl>
    <w:p>
      <w:pPr>
        <w:pStyle w:val="3"/>
        <w:spacing w:before="300" w:after="120" w:line="288" w:lineRule="auto"/>
        <w:ind w:left="0"/>
        <w:jc w:val="left"/>
        <w:outlineLvl w:val="2"/>
      </w:pPr>
      <w:bookmarkStart w:name="heading_7" w:id="7"/>
      <w:r>
        <w:rPr>
          <w:rFonts w:eastAsia="等线" w:ascii="Arial" w:cs="Arial" w:hAnsi="Arial"/>
          <w:b w:val="true"/>
          <w:sz w:val="30"/>
        </w:rPr>
        <w:t>三、共识推荐的临床应用规范</w:t>
      </w:r>
      <w:bookmarkEnd w:id="7"/>
    </w:p>
    <w:p>
      <w:pPr>
        <w:spacing w:before="120" w:after="120" w:line="288" w:lineRule="auto"/>
        <w:ind w:left="0"/>
        <w:jc w:val="left"/>
      </w:pPr>
      <w:r>
        <w:rPr>
          <w:rFonts w:eastAsia="等线" w:ascii="Arial" w:cs="Arial" w:hAnsi="Arial"/>
          <w:b w:val="true"/>
          <w:sz w:val="22"/>
        </w:rPr>
        <w:t>1996年ESC共识明确要求</w:t>
      </w:r>
      <w:r>
        <w:rPr>
          <w:rFonts w:eastAsia="等线" w:ascii="Arial" w:cs="Arial" w:hAnsi="Arial"/>
          <w:sz w:val="22"/>
        </w:rPr>
        <w:t>：</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80pt;mso-width-percent:0;mso-height-percent:0;mso-width-percent:0;mso-height-percent:0" type="#_x0000_t75" o:ole="">
            <v:imagedata r:id="rId9" o:title=""/>
          </v:shape>
          <o:OLEObject DrawAspect="Icon" ObjectID="_1718471219" ProgID="Excel.Sheet.12" ShapeID="_x0000_i1025"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您的实现符合所有技术要求</w:t>
      </w:r>
      <w:r>
        <w:rPr>
          <w:rFonts w:eastAsia="等线" w:ascii="Arial" w:cs="Arial" w:hAnsi="Arial"/>
          <w:sz w:val="22"/>
        </w:rPr>
        <w:t>：</w:t>
      </w:r>
    </w:p>
    <w:p>
      <w:pPr>
        <w:numPr>
          <w:numId w:val="33"/>
        </w:numPr>
        <w:spacing w:before="120" w:after="120" w:line="288" w:lineRule="auto"/>
        <w:ind w:left="0"/>
        <w:jc w:val="left"/>
      </w:pPr>
      <w:r>
        <w:rPr>
          <w:rFonts w:eastAsia="等线" w:ascii="Arial" w:cs="Arial" w:hAnsi="Arial"/>
          <w:sz w:val="22"/>
        </w:rPr>
        <w:t>✅ 频段划分精确（边界插值处理）</w:t>
      </w:r>
    </w:p>
    <w:p>
      <w:pPr>
        <w:numPr>
          <w:numId w:val="34"/>
        </w:numPr>
        <w:spacing w:before="120" w:after="120" w:line="288" w:lineRule="auto"/>
        <w:ind w:left="0"/>
        <w:jc w:val="left"/>
      </w:pPr>
      <w:r>
        <w:rPr>
          <w:rFonts w:eastAsia="等线" w:ascii="Arial" w:cs="Arial" w:hAnsi="Arial"/>
          <w:sz w:val="22"/>
        </w:rPr>
        <w:t>✅ 功率计算标准化（周期图法）</w:t>
      </w:r>
    </w:p>
    <w:p>
      <w:pPr>
        <w:numPr>
          <w:numId w:val="35"/>
        </w:numPr>
        <w:spacing w:before="120" w:after="120" w:line="288" w:lineRule="auto"/>
        <w:ind w:left="0"/>
        <w:jc w:val="left"/>
      </w:pPr>
      <w:r>
        <w:rPr>
          <w:rFonts w:eastAsia="等线" w:ascii="Arial" w:cs="Arial" w:hAnsi="Arial"/>
          <w:sz w:val="22"/>
        </w:rPr>
        <w:t>✅ 单位一致性（ms²临床标准）</w:t>
      </w:r>
    </w:p>
    <w:p>
      <w:pPr>
        <w:numPr>
          <w:numId w:val="36"/>
        </w:numPr>
        <w:spacing w:before="120" w:after="120" w:line="288" w:lineRule="auto"/>
        <w:ind w:left="0"/>
        <w:jc w:val="left"/>
      </w:pPr>
      <w:r>
        <w:rPr>
          <w:rFonts w:eastAsia="等线" w:ascii="Arial" w:cs="Arial" w:hAnsi="Arial"/>
          <w:sz w:val="22"/>
        </w:rPr>
        <w:t>✅ 生理意义描述准确</w:t>
      </w:r>
    </w:p>
    <w:p>
      <w:pPr>
        <w:pStyle w:val="3"/>
        <w:spacing w:before="300" w:after="120" w:line="288" w:lineRule="auto"/>
        <w:ind w:left="0"/>
        <w:jc w:val="left"/>
        <w:outlineLvl w:val="2"/>
      </w:pPr>
      <w:bookmarkStart w:name="heading_8" w:id="8"/>
      <w:r>
        <w:rPr>
          <w:rFonts w:eastAsia="等线" w:ascii="Arial" w:cs="Arial" w:hAnsi="Arial"/>
          <w:b w:val="true"/>
          <w:sz w:val="30"/>
        </w:rPr>
        <w:t>四、共识验证的技术细节</w:t>
      </w:r>
      <w:bookmarkEnd w:id="8"/>
    </w:p>
    <w:p>
      <w:pPr>
        <w:spacing w:before="120" w:after="120" w:line="288" w:lineRule="auto"/>
        <w:ind w:left="0"/>
        <w:jc w:val="left"/>
      </w:pPr>
      <w:r>
        <w:rPr>
          <w:rFonts w:eastAsia="等线" w:ascii="Arial" w:cs="Arial" w:hAnsi="Arial"/>
          <w:sz w:val="22"/>
        </w:rPr>
        <w:t>您的实现考虑了所有共识要求的技术细节：</w:t>
      </w:r>
    </w:p>
    <w:p>
      <w:pPr>
        <w:numPr>
          <w:numId w:val="37"/>
        </w:numPr>
        <w:spacing w:before="120" w:after="120" w:line="288" w:lineRule="auto"/>
        <w:ind w:left="0"/>
        <w:jc w:val="left"/>
      </w:pPr>
      <w:r>
        <w:rPr>
          <w:rFonts w:eastAsia="等线" w:ascii="Arial" w:cs="Arial" w:hAnsi="Arial"/>
          <w:b w:val="true"/>
          <w:sz w:val="22"/>
        </w:rPr>
        <w:t>频率轴精度</w:t>
      </w:r>
      <w:r>
        <w:rPr>
          <w:rFonts w:eastAsia="等线" w:ascii="Arial" w:cs="Arial" w:hAnsi="Arial"/>
          <w:sz w:val="22"/>
        </w:rPr>
        <w:t>：</w:t>
      </w:r>
    </w:p>
    <w:p>
      <w:pPr>
        <w:numPr>
          <w:numId w:val="38"/>
        </w:numPr>
        <w:spacing w:before="120" w:after="120" w:line="288" w:lineRule="auto"/>
        <w:ind w:left="0"/>
        <w:jc w:val="left"/>
      </w:pPr>
      <w:r>
        <w:rPr>
          <w:rFonts w:eastAsia="等线" w:ascii="Arial" w:cs="Arial" w:hAnsi="Arial"/>
          <w:sz w:val="22"/>
        </w:rPr>
        <w:t>javascript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freqs.push(k * fsInterp / N); // 正确的频率计算</w:t>
            </w:r>
          </w:p>
        </w:tc>
      </w:tr>
    </w:tbl>
    <w:p>
      <w:pPr>
        <w:numPr>
          <w:numId w:val="39"/>
        </w:numPr>
        <w:spacing w:before="120" w:after="120" w:line="288" w:lineRule="auto"/>
        <w:ind w:left="0"/>
        <w:jc w:val="left"/>
      </w:pPr>
      <w:r>
        <w:rPr>
          <w:rFonts w:eastAsia="等线" w:ascii="Arial" w:cs="Arial" w:hAnsi="Arial"/>
          <w:b w:val="true"/>
          <w:sz w:val="22"/>
        </w:rPr>
        <w:t>边界处理</w:t>
      </w:r>
      <w:r>
        <w:rPr>
          <w:rFonts w:eastAsia="等线" w:ascii="Arial" w:cs="Arial" w:hAnsi="Arial"/>
          <w:sz w:val="22"/>
        </w:rPr>
        <w:t>：使用</w:t>
      </w:r>
      <w:r>
        <w:rPr>
          <w:rFonts w:eastAsia="Consolas" w:ascii="Consolas" w:cs="Consolas" w:hAnsi="Consolas"/>
          <w:sz w:val="22"/>
          <w:shd w:fill="EFF0F1"/>
        </w:rPr>
        <w:t>bandPower</w:t>
      </w:r>
      <w:r>
        <w:rPr>
          <w:rFonts w:eastAsia="等线" w:ascii="Arial" w:cs="Arial" w:hAnsi="Arial"/>
          <w:sz w:val="22"/>
        </w:rPr>
        <w:t>函数的边界插值确保频段积分精度</w:t>
      </w:r>
    </w:p>
    <w:p>
      <w:pPr>
        <w:numPr>
          <w:numId w:val="40"/>
        </w:numPr>
        <w:spacing w:before="120" w:after="120" w:line="288" w:lineRule="auto"/>
        <w:ind w:left="0"/>
        <w:jc w:val="left"/>
      </w:pPr>
      <w:r>
        <w:rPr>
          <w:rFonts w:eastAsia="等线" w:ascii="Arial" w:cs="Arial" w:hAnsi="Arial"/>
          <w:b w:val="true"/>
          <w:sz w:val="22"/>
        </w:rPr>
        <w:t>单位转换</w:t>
      </w:r>
      <w:r>
        <w:rPr>
          <w:rFonts w:eastAsia="等线" w:ascii="Arial" w:cs="Arial" w:hAnsi="Arial"/>
          <w:sz w:val="22"/>
        </w:rPr>
        <w:t>：注意s²到ms²的转换（×10⁶）</w:t>
      </w:r>
    </w:p>
    <w:p>
      <w:pPr>
        <w:pStyle w:val="3"/>
        <w:spacing w:before="300" w:after="120" w:line="288" w:lineRule="auto"/>
        <w:ind w:left="0"/>
        <w:jc w:val="left"/>
        <w:outlineLvl w:val="2"/>
      </w:pPr>
      <w:bookmarkStart w:name="heading_9" w:id="9"/>
      <w:r>
        <w:rPr>
          <w:rFonts w:eastAsia="等线" w:ascii="Arial" w:cs="Arial" w:hAnsi="Arial"/>
          <w:b w:val="true"/>
          <w:sz w:val="30"/>
        </w:rPr>
        <w:t>五、最新共识发展</w:t>
      </w:r>
      <w:bookmarkEnd w:id="9"/>
    </w:p>
    <w:p>
      <w:pPr>
        <w:spacing w:before="120" w:after="120" w:line="288" w:lineRule="auto"/>
        <w:ind w:left="0"/>
        <w:jc w:val="left"/>
      </w:pPr>
      <w:r>
        <w:rPr>
          <w:rFonts w:eastAsia="等线" w:ascii="Arial" w:cs="Arial" w:hAnsi="Arial"/>
          <w:b w:val="true"/>
          <w:sz w:val="22"/>
        </w:rPr>
        <w:t>当前共识趋势</w:t>
      </w:r>
      <w:r>
        <w:rPr>
          <w:rFonts w:eastAsia="等线" w:ascii="Arial" w:cs="Arial" w:hAnsi="Arial"/>
          <w:sz w:val="22"/>
        </w:rPr>
        <w:t>：</w:t>
      </w:r>
    </w:p>
    <w:p>
      <w:pPr>
        <w:numPr>
          <w:numId w:val="41"/>
        </w:numPr>
        <w:spacing w:before="120" w:after="120" w:line="288" w:lineRule="auto"/>
        <w:ind w:left="0"/>
        <w:jc w:val="left"/>
      </w:pPr>
      <w:r>
        <w:rPr>
          <w:rFonts w:eastAsia="等线" w:ascii="Arial" w:cs="Arial" w:hAnsi="Arial"/>
          <w:b w:val="true"/>
          <w:sz w:val="22"/>
        </w:rPr>
        <w:t>HF功率优先</w:t>
      </w:r>
      <w:r>
        <w:rPr>
          <w:rFonts w:eastAsia="等线" w:ascii="Arial" w:cs="Arial" w:hAnsi="Arial"/>
          <w:sz w:val="22"/>
        </w:rPr>
        <w:t>：作为迷走神经功能的金标准</w:t>
      </w:r>
    </w:p>
    <w:p>
      <w:pPr>
        <w:numPr>
          <w:numId w:val="42"/>
        </w:numPr>
        <w:spacing w:before="120" w:after="120" w:line="288" w:lineRule="auto"/>
        <w:ind w:left="0"/>
        <w:jc w:val="left"/>
      </w:pPr>
      <w:r>
        <w:rPr>
          <w:rFonts w:eastAsia="等线" w:ascii="Arial" w:cs="Arial" w:hAnsi="Arial"/>
          <w:b w:val="true"/>
          <w:sz w:val="22"/>
        </w:rPr>
        <w:t>个体化基线</w:t>
      </w:r>
      <w:r>
        <w:rPr>
          <w:rFonts w:eastAsia="等线" w:ascii="Arial" w:cs="Arial" w:hAnsi="Arial"/>
          <w:sz w:val="22"/>
        </w:rPr>
        <w:t>：建立个人频域指标基线</w:t>
      </w:r>
    </w:p>
    <w:p>
      <w:pPr>
        <w:numPr>
          <w:numId w:val="43"/>
        </w:numPr>
        <w:spacing w:before="120" w:after="120" w:line="288" w:lineRule="auto"/>
        <w:ind w:left="0"/>
        <w:jc w:val="left"/>
      </w:pPr>
      <w:r>
        <w:rPr>
          <w:rFonts w:eastAsia="等线" w:ascii="Arial" w:cs="Arial" w:hAnsi="Arial"/>
          <w:b w:val="true"/>
          <w:sz w:val="22"/>
        </w:rPr>
        <w:t>动态监测</w:t>
      </w:r>
      <w:r>
        <w:rPr>
          <w:rFonts w:eastAsia="等线" w:ascii="Arial" w:cs="Arial" w:hAnsi="Arial"/>
          <w:sz w:val="22"/>
        </w:rPr>
        <w:t>：利用可穿戴设备进行频域趋势分析</w:t>
      </w:r>
    </w:p>
    <w:p>
      <w:pPr>
        <w:numPr>
          <w:numId w:val="44"/>
        </w:numPr>
        <w:spacing w:before="120" w:after="120" w:line="288" w:lineRule="auto"/>
        <w:ind w:left="0"/>
        <w:jc w:val="left"/>
      </w:pPr>
      <w:r>
        <w:rPr>
          <w:rFonts w:eastAsia="等线" w:ascii="Arial" w:cs="Arial" w:hAnsi="Arial"/>
          <w:b w:val="true"/>
          <w:sz w:val="22"/>
        </w:rPr>
        <w:t>多指标综合</w:t>
      </w:r>
      <w:r>
        <w:rPr>
          <w:rFonts w:eastAsia="等线" w:ascii="Arial" w:cs="Arial" w:hAnsi="Arial"/>
          <w:sz w:val="22"/>
        </w:rPr>
        <w:t>：结合时域、频域、非线性指标</w:t>
      </w:r>
    </w:p>
    <w:p>
      <w:pPr>
        <w:pStyle w:val="3"/>
        <w:spacing w:before="300" w:after="120" w:line="288" w:lineRule="auto"/>
        <w:ind w:left="0"/>
        <w:jc w:val="left"/>
        <w:outlineLvl w:val="2"/>
      </w:pPr>
      <w:bookmarkStart w:name="heading_10" w:id="10"/>
      <w:r>
        <w:rPr>
          <w:rFonts w:eastAsia="等线" w:ascii="Arial" w:cs="Arial" w:hAnsi="Arial"/>
          <w:b w:val="true"/>
          <w:sz w:val="30"/>
        </w:rPr>
        <w:t>总结</w:t>
      </w:r>
      <w:bookmarkEnd w:id="10"/>
    </w:p>
    <w:p>
      <w:pPr>
        <w:spacing w:before="120" w:after="120" w:line="288" w:lineRule="auto"/>
        <w:ind w:left="0"/>
        <w:jc w:val="left"/>
      </w:pPr>
      <w:r>
        <w:rPr>
          <w:rFonts w:eastAsia="等线" w:ascii="Arial" w:cs="Arial" w:hAnsi="Arial"/>
          <w:b w:val="true"/>
          <w:sz w:val="22"/>
        </w:rPr>
        <w:t>您的频域指标实现与专家共识高度吻合。</w:t>
      </w:r>
      <w:r>
        <w:rPr>
          <w:rFonts w:eastAsia="等线" w:ascii="Arial" w:cs="Arial" w:hAnsi="Arial"/>
          <w:sz w:val="22"/>
        </w:rPr>
        <w:t xml:space="preserve"> 这不仅是一组频谱分析工具，而是</w:t>
      </w:r>
      <w:r>
        <w:rPr>
          <w:rFonts w:eastAsia="等线" w:ascii="Arial" w:cs="Arial" w:hAnsi="Arial"/>
          <w:b w:val="true"/>
          <w:sz w:val="22"/>
        </w:rPr>
        <w:t>具有明确生理意义和临床诊断价值的标准化参数体系</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共识验证的关键点</w:t>
      </w:r>
      <w:r>
        <w:rPr>
          <w:rFonts w:eastAsia="等线" w:ascii="Arial" w:cs="Arial" w:hAnsi="Arial"/>
          <w:sz w:val="22"/>
        </w:rPr>
        <w:t>：</w:t>
      </w:r>
    </w:p>
    <w:p>
      <w:pPr>
        <w:numPr>
          <w:numId w:val="45"/>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PSD计算</w:t>
      </w:r>
      <w:r>
        <w:rPr>
          <w:rFonts w:eastAsia="等线" w:ascii="Arial" w:cs="Arial" w:hAnsi="Arial"/>
          <w:sz w:val="22"/>
        </w:rPr>
        <w:t xml:space="preserve"> = 标准化周期图法</w:t>
      </w:r>
    </w:p>
    <w:p>
      <w:pPr>
        <w:numPr>
          <w:numId w:val="46"/>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频段划分</w:t>
      </w:r>
      <w:r>
        <w:rPr>
          <w:rFonts w:eastAsia="等线" w:ascii="Arial" w:cs="Arial" w:hAnsi="Arial"/>
          <w:sz w:val="22"/>
        </w:rPr>
        <w:t xml:space="preserve"> = 严格遵循0.003-0.04-0.15-0.4 Hz界限</w:t>
      </w:r>
    </w:p>
    <w:p>
      <w:pPr>
        <w:numPr>
          <w:numId w:val="47"/>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LF意义</w:t>
      </w:r>
      <w:r>
        <w:rPr>
          <w:rFonts w:eastAsia="等线" w:ascii="Arial" w:cs="Arial" w:hAnsi="Arial"/>
          <w:sz w:val="22"/>
        </w:rPr>
        <w:t xml:space="preserve"> = 压力反射而非纯交感神经</w:t>
      </w:r>
    </w:p>
    <w:p>
      <w:pPr>
        <w:numPr>
          <w:numId w:val="48"/>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HF意义</w:t>
      </w:r>
      <w:r>
        <w:rPr>
          <w:rFonts w:eastAsia="等线" w:ascii="Arial" w:cs="Arial" w:hAnsi="Arial"/>
          <w:sz w:val="22"/>
        </w:rPr>
        <w:t xml:space="preserve"> = 迷走神经金标准</w:t>
      </w:r>
    </w:p>
    <w:p>
      <w:pPr>
        <w:numPr>
          <w:numId w:val="49"/>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LF/HF处理</w:t>
      </w:r>
      <w:r>
        <w:rPr>
          <w:rFonts w:eastAsia="等线" w:ascii="Arial" w:cs="Arial" w:hAnsi="Arial"/>
          <w:sz w:val="22"/>
        </w:rPr>
        <w:t xml:space="preserve"> = 符合最新共识的谨慎态度</w:t>
      </w:r>
    </w:p>
    <w:p>
      <w:pPr>
        <w:numPr>
          <w:numId w:val="50"/>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临床阈值</w:t>
      </w:r>
      <w:r>
        <w:rPr>
          <w:rFonts w:eastAsia="等线" w:ascii="Arial" w:cs="Arial" w:hAnsi="Arial"/>
          <w:sz w:val="22"/>
        </w:rPr>
        <w:t xml:space="preserve"> = 与国际指南完全一致</w:t>
      </w:r>
    </w:p>
    <w:p>
      <w:pPr>
        <w:spacing w:before="120" w:after="120" w:line="288" w:lineRule="auto"/>
        <w:ind w:left="0"/>
        <w:jc w:val="left"/>
      </w:pPr>
      <w:r>
        <w:rPr>
          <w:rFonts w:eastAsia="等线" w:ascii="Arial" w:cs="Arial" w:hAnsi="Arial"/>
          <w:sz w:val="22"/>
        </w:rPr>
        <w:t>这套频域指标分析为临床自主神经功能评估提供了符合国际共识的可靠工具，是专业级心血管风险评估的必备组件。</w:t>
      </w: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65034">
    <w:lvl>
      <w:start w:val="1"/>
      <w:numFmt w:val="decimal"/>
      <w:suff w:val="tab"/>
      <w:lvlText w:val="%1."/>
      <w:rPr>
        <w:color w:val="3370ff"/>
      </w:rPr>
    </w:lvl>
  </w:abstractNum>
  <w:abstractNum w:abstractNumId="665035">
    <w:lvl>
      <w:numFmt w:val="bullet"/>
      <w:suff w:val="tab"/>
      <w:lvlText w:val="￮"/>
      <w:rPr>
        <w:color w:val="3370ff"/>
      </w:rPr>
    </w:lvl>
  </w:abstractNum>
  <w:abstractNum w:abstractNumId="665036">
    <w:lvl>
      <w:start w:val="2"/>
      <w:numFmt w:val="decimal"/>
      <w:suff w:val="tab"/>
      <w:lvlText w:val="%1."/>
      <w:rPr>
        <w:color w:val="3370ff"/>
      </w:rPr>
    </w:lvl>
  </w:abstractNum>
  <w:abstractNum w:abstractNumId="665037">
    <w:lvl>
      <w:numFmt w:val="bullet"/>
      <w:suff w:val="tab"/>
      <w:lvlText w:val="￮"/>
      <w:rPr>
        <w:color w:val="3370ff"/>
      </w:rPr>
    </w:lvl>
  </w:abstractNum>
  <w:abstractNum w:abstractNumId="665038">
    <w:lvl>
      <w:numFmt w:val="bullet"/>
      <w:suff w:val="tab"/>
      <w:lvlText w:val="•"/>
      <w:rPr>
        <w:color w:val="3370ff"/>
      </w:rPr>
    </w:lvl>
  </w:abstractNum>
  <w:abstractNum w:abstractNumId="665039">
    <w:lvl>
      <w:numFmt w:val="bullet"/>
      <w:suff w:val="tab"/>
      <w:lvlText w:val="•"/>
      <w:rPr>
        <w:color w:val="3370ff"/>
      </w:rPr>
    </w:lvl>
  </w:abstractNum>
  <w:abstractNum w:abstractNumId="665040">
    <w:lvl>
      <w:numFmt w:val="bullet"/>
      <w:suff w:val="tab"/>
      <w:lvlText w:val="•"/>
      <w:rPr>
        <w:color w:val="3370ff"/>
      </w:rPr>
    </w:lvl>
  </w:abstractNum>
  <w:abstractNum w:abstractNumId="665041">
    <w:lvl>
      <w:numFmt w:val="bullet"/>
      <w:suff w:val="tab"/>
      <w:lvlText w:val="•"/>
      <w:rPr>
        <w:color w:val="3370ff"/>
      </w:rPr>
    </w:lvl>
  </w:abstractNum>
  <w:abstractNum w:abstractNumId="665042">
    <w:lvl>
      <w:numFmt w:val="bullet"/>
      <w:suff w:val="tab"/>
      <w:lvlText w:val="•"/>
      <w:rPr>
        <w:color w:val="3370ff"/>
      </w:rPr>
    </w:lvl>
  </w:abstractNum>
  <w:abstractNum w:abstractNumId="665043">
    <w:lvl>
      <w:numFmt w:val="bullet"/>
      <w:suff w:val="tab"/>
      <w:lvlText w:val="•"/>
      <w:rPr>
        <w:color w:val="3370ff"/>
      </w:rPr>
    </w:lvl>
  </w:abstractNum>
  <w:abstractNum w:abstractNumId="665044">
    <w:lvl>
      <w:numFmt w:val="bullet"/>
      <w:suff w:val="tab"/>
      <w:lvlText w:val="•"/>
      <w:rPr>
        <w:color w:val="3370ff"/>
      </w:rPr>
    </w:lvl>
  </w:abstractNum>
  <w:abstractNum w:abstractNumId="665045">
    <w:lvl>
      <w:numFmt w:val="bullet"/>
      <w:suff w:val="tab"/>
      <w:lvlText w:val="•"/>
      <w:rPr>
        <w:color w:val="3370ff"/>
      </w:rPr>
    </w:lvl>
  </w:abstractNum>
  <w:abstractNum w:abstractNumId="665046">
    <w:lvl>
      <w:numFmt w:val="bullet"/>
      <w:suff w:val="tab"/>
      <w:lvlText w:val="•"/>
      <w:rPr>
        <w:color w:val="3370ff"/>
      </w:rPr>
    </w:lvl>
  </w:abstractNum>
  <w:abstractNum w:abstractNumId="665047">
    <w:lvl>
      <w:numFmt w:val="bullet"/>
      <w:suff w:val="tab"/>
      <w:lvlText w:val="•"/>
      <w:rPr>
        <w:color w:val="3370ff"/>
      </w:rPr>
    </w:lvl>
  </w:abstractNum>
  <w:abstractNum w:abstractNumId="665048">
    <w:lvl>
      <w:numFmt w:val="bullet"/>
      <w:suff w:val="tab"/>
      <w:lvlText w:val="•"/>
      <w:rPr>
        <w:color w:val="3370ff"/>
      </w:rPr>
    </w:lvl>
  </w:abstractNum>
  <w:abstractNum w:abstractNumId="665049">
    <w:lvl>
      <w:numFmt w:val="bullet"/>
      <w:suff w:val="tab"/>
      <w:lvlText w:val="•"/>
      <w:rPr>
        <w:color w:val="3370ff"/>
      </w:rPr>
    </w:lvl>
  </w:abstractNum>
  <w:abstractNum w:abstractNumId="665050">
    <w:lvl>
      <w:numFmt w:val="bullet"/>
      <w:suff w:val="tab"/>
      <w:lvlText w:val="•"/>
      <w:rPr>
        <w:color w:val="3370ff"/>
      </w:rPr>
    </w:lvl>
  </w:abstractNum>
  <w:abstractNum w:abstractNumId="665051">
    <w:lvl>
      <w:numFmt w:val="bullet"/>
      <w:suff w:val="tab"/>
      <w:lvlText w:val="•"/>
      <w:rPr>
        <w:color w:val="3370ff"/>
      </w:rPr>
    </w:lvl>
  </w:abstractNum>
  <w:abstractNum w:abstractNumId="665052">
    <w:lvl>
      <w:numFmt w:val="bullet"/>
      <w:suff w:val="tab"/>
      <w:lvlText w:val="•"/>
      <w:rPr>
        <w:color w:val="3370ff"/>
      </w:rPr>
    </w:lvl>
  </w:abstractNum>
  <w:abstractNum w:abstractNumId="665053">
    <w:lvl>
      <w:numFmt w:val="bullet"/>
      <w:suff w:val="tab"/>
      <w:lvlText w:val="•"/>
      <w:rPr>
        <w:color w:val="3370ff"/>
      </w:rPr>
    </w:lvl>
  </w:abstractNum>
  <w:abstractNum w:abstractNumId="665054">
    <w:lvl>
      <w:numFmt w:val="bullet"/>
      <w:suff w:val="tab"/>
      <w:lvlText w:val="•"/>
      <w:rPr>
        <w:color w:val="3370ff"/>
      </w:rPr>
    </w:lvl>
  </w:abstractNum>
  <w:abstractNum w:abstractNumId="665055">
    <w:lvl>
      <w:numFmt w:val="bullet"/>
      <w:suff w:val="tab"/>
      <w:lvlText w:val="•"/>
      <w:rPr>
        <w:color w:val="3370ff"/>
      </w:rPr>
    </w:lvl>
  </w:abstractNum>
  <w:abstractNum w:abstractNumId="665056">
    <w:lvl>
      <w:numFmt w:val="bullet"/>
      <w:suff w:val="tab"/>
      <w:lvlText w:val="•"/>
      <w:rPr>
        <w:color w:val="3370ff"/>
      </w:rPr>
    </w:lvl>
  </w:abstractNum>
  <w:abstractNum w:abstractNumId="665057">
    <w:lvl>
      <w:numFmt w:val="bullet"/>
      <w:suff w:val="tab"/>
      <w:lvlText w:val="•"/>
      <w:rPr>
        <w:color w:val="3370ff"/>
      </w:rPr>
    </w:lvl>
  </w:abstractNum>
  <w:abstractNum w:abstractNumId="665058">
    <w:lvl>
      <w:numFmt w:val="bullet"/>
      <w:suff w:val="tab"/>
      <w:lvlText w:val="•"/>
      <w:rPr>
        <w:color w:val="3370ff"/>
      </w:rPr>
    </w:lvl>
  </w:abstractNum>
  <w:abstractNum w:abstractNumId="665059">
    <w:lvl>
      <w:numFmt w:val="bullet"/>
      <w:suff w:val="tab"/>
      <w:lvlText w:val="•"/>
      <w:rPr>
        <w:color w:val="3370ff"/>
      </w:rPr>
    </w:lvl>
  </w:abstractNum>
  <w:abstractNum w:abstractNumId="665060">
    <w:lvl>
      <w:numFmt w:val="bullet"/>
      <w:suff w:val="tab"/>
      <w:lvlText w:val="•"/>
      <w:rPr>
        <w:color w:val="3370ff"/>
      </w:rPr>
    </w:lvl>
  </w:abstractNum>
  <w:abstractNum w:abstractNumId="665061">
    <w:lvl>
      <w:numFmt w:val="bullet"/>
      <w:suff w:val="tab"/>
      <w:lvlText w:val="•"/>
      <w:rPr>
        <w:color w:val="3370ff"/>
      </w:rPr>
    </w:lvl>
  </w:abstractNum>
  <w:abstractNum w:abstractNumId="665062">
    <w:lvl>
      <w:numFmt w:val="bullet"/>
      <w:suff w:val="tab"/>
      <w:lvlText w:val="•"/>
      <w:rPr>
        <w:color w:val="3370ff"/>
      </w:rPr>
    </w:lvl>
  </w:abstractNum>
  <w:abstractNum w:abstractNumId="665063">
    <w:lvl>
      <w:numFmt w:val="bullet"/>
      <w:suff w:val="tab"/>
      <w:lvlText w:val="•"/>
      <w:rPr>
        <w:color w:val="3370ff"/>
      </w:rPr>
    </w:lvl>
  </w:abstractNum>
  <w:abstractNum w:abstractNumId="665064">
    <w:lvl>
      <w:numFmt w:val="bullet"/>
      <w:suff w:val="tab"/>
      <w:lvlText w:val="•"/>
      <w:rPr>
        <w:color w:val="3370ff"/>
      </w:rPr>
    </w:lvl>
  </w:abstractNum>
  <w:abstractNum w:abstractNumId="665065">
    <w:lvl>
      <w:numFmt w:val="bullet"/>
      <w:suff w:val="tab"/>
      <w:lvlText w:val="•"/>
      <w:rPr>
        <w:color w:val="3370ff"/>
      </w:rPr>
    </w:lvl>
  </w:abstractNum>
  <w:abstractNum w:abstractNumId="665066">
    <w:lvl>
      <w:numFmt w:val="bullet"/>
      <w:suff w:val="tab"/>
      <w:lvlText w:val="•"/>
      <w:rPr>
        <w:color w:val="3370ff"/>
      </w:rPr>
    </w:lvl>
  </w:abstractNum>
  <w:abstractNum w:abstractNumId="665067">
    <w:lvl>
      <w:numFmt w:val="bullet"/>
      <w:suff w:val="tab"/>
      <w:lvlText w:val="•"/>
      <w:rPr>
        <w:color w:val="3370ff"/>
      </w:rPr>
    </w:lvl>
  </w:abstractNum>
  <w:abstractNum w:abstractNumId="665068">
    <w:lvl>
      <w:numFmt w:val="bullet"/>
      <w:suff w:val="tab"/>
      <w:lvlText w:val="•"/>
      <w:rPr>
        <w:color w:val="3370ff"/>
      </w:rPr>
    </w:lvl>
  </w:abstractNum>
  <w:abstractNum w:abstractNumId="665069">
    <w:lvl>
      <w:numFmt w:val="bullet"/>
      <w:suff w:val="tab"/>
      <w:lvlText w:val="•"/>
      <w:rPr>
        <w:color w:val="3370ff"/>
      </w:rPr>
    </w:lvl>
  </w:abstractNum>
  <w:abstractNum w:abstractNumId="665070">
    <w:lvl>
      <w:start w:val="1"/>
      <w:numFmt w:val="decimal"/>
      <w:suff w:val="tab"/>
      <w:lvlText w:val="%1."/>
      <w:rPr>
        <w:color w:val="3370ff"/>
      </w:rPr>
    </w:lvl>
  </w:abstractNum>
  <w:abstractNum w:abstractNumId="665071">
    <w:lvl>
      <w:start w:val="2"/>
      <w:numFmt w:val="decimal"/>
      <w:suff w:val="tab"/>
      <w:lvlText w:val="%1."/>
      <w:rPr>
        <w:color w:val="3370ff"/>
      </w:rPr>
    </w:lvl>
  </w:abstractNum>
  <w:abstractNum w:abstractNumId="665072">
    <w:lvl>
      <w:start w:val="1"/>
      <w:numFmt w:val="decimal"/>
      <w:suff w:val="tab"/>
      <w:lvlText w:val="%1."/>
      <w:rPr>
        <w:color w:val="3370ff"/>
      </w:rPr>
    </w:lvl>
  </w:abstractNum>
  <w:abstractNum w:abstractNumId="665073">
    <w:lvl>
      <w:start w:val="2"/>
      <w:numFmt w:val="decimal"/>
      <w:suff w:val="tab"/>
      <w:lvlText w:val="%1."/>
      <w:rPr>
        <w:color w:val="3370ff"/>
      </w:rPr>
    </w:lvl>
  </w:abstractNum>
  <w:abstractNum w:abstractNumId="665074">
    <w:lvl>
      <w:numFmt w:val="bullet"/>
      <w:suff w:val="tab"/>
      <w:lvlText w:val="•"/>
      <w:rPr>
        <w:color w:val="3370ff"/>
      </w:rPr>
    </w:lvl>
  </w:abstractNum>
  <w:abstractNum w:abstractNumId="665075">
    <w:lvl>
      <w:numFmt w:val="bullet"/>
      <w:suff w:val="tab"/>
      <w:lvlText w:val="•"/>
      <w:rPr>
        <w:color w:val="3370ff"/>
      </w:rPr>
    </w:lvl>
  </w:abstractNum>
  <w:abstractNum w:abstractNumId="665076">
    <w:lvl>
      <w:numFmt w:val="bullet"/>
      <w:suff w:val="tab"/>
      <w:lvlText w:val="•"/>
      <w:rPr>
        <w:color w:val="3370ff"/>
      </w:rPr>
    </w:lvl>
  </w:abstractNum>
  <w:abstractNum w:abstractNumId="665077">
    <w:lvl>
      <w:numFmt w:val="bullet"/>
      <w:suff w:val="tab"/>
      <w:lvlText w:val="•"/>
      <w:rPr>
        <w:color w:val="3370ff"/>
      </w:rPr>
    </w:lvl>
  </w:abstractNum>
  <w:abstractNum w:abstractNumId="665078">
    <w:lvl>
      <w:numFmt w:val="bullet"/>
      <w:suff w:val="tab"/>
      <w:lvlText w:val="•"/>
      <w:rPr>
        <w:color w:val="3370ff"/>
      </w:rPr>
    </w:lvl>
  </w:abstractNum>
  <w:abstractNum w:abstractNumId="665079">
    <w:lvl>
      <w:numFmt w:val="bullet"/>
      <w:suff w:val="tab"/>
      <w:lvlText w:val="•"/>
      <w:rPr>
        <w:color w:val="3370ff"/>
      </w:rPr>
    </w:lvl>
  </w:abstractNum>
  <w:abstractNum w:abstractNumId="665080">
    <w:lvl>
      <w:numFmt w:val="bullet"/>
      <w:suff w:val="tab"/>
      <w:lvlText w:val="•"/>
      <w:rPr>
        <w:color w:val="3370ff"/>
      </w:rPr>
    </w:lvl>
  </w:abstractNum>
  <w:abstractNum w:abstractNumId="665081">
    <w:lvl>
      <w:numFmt w:val="bullet"/>
      <w:suff w:val="tab"/>
      <w:lvlText w:val="•"/>
      <w:rPr>
        <w:color w:val="3370ff"/>
      </w:rPr>
    </w:lvl>
  </w:abstractNum>
  <w:abstractNum w:abstractNumId="665082">
    <w:lvl>
      <w:numFmt w:val="bullet"/>
      <w:suff w:val="tab"/>
      <w:lvlText w:val="•"/>
      <w:rPr>
        <w:color w:val="3370ff"/>
      </w:rPr>
    </w:lvl>
  </w:abstractNum>
  <w:abstractNum w:abstractNumId="665083">
    <w:lvl>
      <w:numFmt w:val="bullet"/>
      <w:suff w:val="tab"/>
      <w:lvlText w:val="•"/>
      <w:rPr>
        <w:color w:val="3370ff"/>
      </w:rPr>
    </w:lvl>
  </w:abstractNum>
  <w:num w:numId="1">
    <w:abstractNumId w:val="665034"/>
  </w:num>
  <w:num w:numId="2">
    <w:abstractNumId w:val="665035"/>
  </w:num>
  <w:num w:numId="3">
    <w:abstractNumId w:val="665036"/>
  </w:num>
  <w:num w:numId="4">
    <w:abstractNumId w:val="665037"/>
  </w:num>
  <w:num w:numId="5">
    <w:abstractNumId w:val="665038"/>
  </w:num>
  <w:num w:numId="6">
    <w:abstractNumId w:val="665039"/>
  </w:num>
  <w:num w:numId="7">
    <w:abstractNumId w:val="665040"/>
  </w:num>
  <w:num w:numId="8">
    <w:abstractNumId w:val="665041"/>
  </w:num>
  <w:num w:numId="9">
    <w:abstractNumId w:val="665042"/>
  </w:num>
  <w:num w:numId="10">
    <w:abstractNumId w:val="665043"/>
  </w:num>
  <w:num w:numId="11">
    <w:abstractNumId w:val="665044"/>
  </w:num>
  <w:num w:numId="12">
    <w:abstractNumId w:val="665045"/>
  </w:num>
  <w:num w:numId="13">
    <w:abstractNumId w:val="665046"/>
  </w:num>
  <w:num w:numId="14">
    <w:abstractNumId w:val="665047"/>
  </w:num>
  <w:num w:numId="15">
    <w:abstractNumId w:val="665048"/>
  </w:num>
  <w:num w:numId="16">
    <w:abstractNumId w:val="665049"/>
  </w:num>
  <w:num w:numId="17">
    <w:abstractNumId w:val="665050"/>
  </w:num>
  <w:num w:numId="18">
    <w:abstractNumId w:val="665051"/>
  </w:num>
  <w:num w:numId="19">
    <w:abstractNumId w:val="665052"/>
  </w:num>
  <w:num w:numId="20">
    <w:abstractNumId w:val="665053"/>
  </w:num>
  <w:num w:numId="21">
    <w:abstractNumId w:val="665054"/>
  </w:num>
  <w:num w:numId="22">
    <w:abstractNumId w:val="665055"/>
  </w:num>
  <w:num w:numId="23">
    <w:abstractNumId w:val="665056"/>
  </w:num>
  <w:num w:numId="24">
    <w:abstractNumId w:val="665057"/>
  </w:num>
  <w:num w:numId="25">
    <w:abstractNumId w:val="665058"/>
  </w:num>
  <w:num w:numId="26">
    <w:abstractNumId w:val="665059"/>
  </w:num>
  <w:num w:numId="27">
    <w:abstractNumId w:val="665060"/>
  </w:num>
  <w:num w:numId="28">
    <w:abstractNumId w:val="665061"/>
  </w:num>
  <w:num w:numId="29">
    <w:abstractNumId w:val="665062"/>
  </w:num>
  <w:num w:numId="30">
    <w:abstractNumId w:val="665063"/>
  </w:num>
  <w:num w:numId="31">
    <w:abstractNumId w:val="665064"/>
  </w:num>
  <w:num w:numId="32">
    <w:abstractNumId w:val="665065"/>
  </w:num>
  <w:num w:numId="33">
    <w:abstractNumId w:val="665066"/>
  </w:num>
  <w:num w:numId="34">
    <w:abstractNumId w:val="665067"/>
  </w:num>
  <w:num w:numId="35">
    <w:abstractNumId w:val="665068"/>
  </w:num>
  <w:num w:numId="36">
    <w:abstractNumId w:val="665069"/>
  </w:num>
  <w:num w:numId="37">
    <w:abstractNumId w:val="665070"/>
  </w:num>
  <w:num w:numId="38">
    <w:abstractNumId w:val="665071"/>
  </w:num>
  <w:num w:numId="39">
    <w:abstractNumId w:val="665072"/>
  </w:num>
  <w:num w:numId="40">
    <w:abstractNumId w:val="665073"/>
  </w:num>
  <w:num w:numId="41">
    <w:abstractNumId w:val="665074"/>
  </w:num>
  <w:num w:numId="42">
    <w:abstractNumId w:val="665075"/>
  </w:num>
  <w:num w:numId="43">
    <w:abstractNumId w:val="665076"/>
  </w:num>
  <w:num w:numId="44">
    <w:abstractNumId w:val="665077"/>
  </w:num>
  <w:num w:numId="45">
    <w:abstractNumId w:val="665078"/>
  </w:num>
  <w:num w:numId="46">
    <w:abstractNumId w:val="665079"/>
  </w:num>
  <w:num w:numId="47">
    <w:abstractNumId w:val="665080"/>
  </w:num>
  <w:num w:numId="48">
    <w:abstractNumId w:val="665081"/>
  </w:num>
  <w:num w:numId="49">
    <w:abstractNumId w:val="665082"/>
  </w:num>
  <w:num w:numId="50">
    <w:abstractNumId w:val="66508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newhope1982.feishu.cn/wiki/M4Eawk5gCiXxo1kboFUczpQWnmg#share-Xx3IdyklloEM3ZxVADecswMdnGD" TargetMode="External" Type="http://schemas.openxmlformats.org/officeDocument/2006/relationships/hyperlink"/><Relationship Id="rId5" Target="numbering.xml" Type="http://schemas.openxmlformats.org/officeDocument/2006/relationships/numbering"/><Relationship Id="rId6" Target="media/image1.png" Type="http://schemas.openxmlformats.org/officeDocument/2006/relationships/image"/><Relationship Id="rId7" Target="media/image2.png" Type="http://schemas.openxmlformats.org/officeDocument/2006/relationships/image"/><Relationship Id="rId8" Target="embeddings/Microsoft_Excel_Worksheet1.xlsx" Type="http://schemas.openxmlformats.org/officeDocument/2006/relationships/package"/><Relationship Id="rId9" Target="media/image3.png" Type="http://schemas.openxmlformats.org/officeDocument/2006/relationships/image"/></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2025-12-30T09:30:06Z</dcterms:created>
  <dc:creator>Apache POI</dc:creator>
</cp:coreProperties>
</file>