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专家共识标准-ST段精准识别与量化模块的设计与实现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段是心电图中QRS波群终点（J点）至T波起点的一段线段，代表心室除极结束到复极开始的阶段。ST段的改变是心电图诊断中的重要指标，尤其与心肌缺血、损伤和梗死等心脏疾病密切相关。以下是ST段的详细功能列表，包括其正常特征、异常变化、机制、临床意义及鉴别诊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52750" cy="1581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一、ST段的正常特征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：通常位于等电位线（基线）上，可能有轻微偏移。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：多呈水平或轻微上斜，凹面向上。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正常偏移范围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肢体导联</w:t>
      </w:r>
      <w:r>
        <w:rPr>
          <w:rFonts w:eastAsia="等线" w:ascii="Arial" w:cs="Arial" w:hAnsi="Arial"/>
          <w:sz w:val="22"/>
        </w:rPr>
        <w:t>：ST段抬高不超过0.1mV，压低不超过0.05mV。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81325" cy="1323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胸导联</w:t>
      </w:r>
      <w:r>
        <w:rPr>
          <w:rFonts w:eastAsia="等线" w:ascii="Arial" w:cs="Arial" w:hAnsi="Arial"/>
          <w:sz w:val="22"/>
        </w:rPr>
        <w:t>（V1-V3）：ST段抬高可达0.3mV（男性）或0.15mV（女性），其他导联（V4-V6）抬高不超过0.1mV。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876550" cy="1847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ST段时间</w:t>
      </w:r>
      <w:r>
        <w:rPr>
          <w:rFonts w:eastAsia="等线" w:ascii="Arial" w:cs="Arial" w:hAnsi="Arial"/>
          <w:sz w:val="22"/>
        </w:rPr>
        <w:t>：一般为0.05-0.15秒，与心率相关（心率快时ST段缩短）。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正常变异</w:t>
      </w:r>
      <w:r>
        <w:rPr>
          <w:rFonts w:eastAsia="等线" w:ascii="Arial" w:cs="Arial" w:hAnsi="Arial"/>
          <w:sz w:val="22"/>
        </w:rPr>
        <w:t>：如早期复极综合征（ST段凹面向上抬高，多见于青年男性、运动员），属良性改变。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943225" cy="1371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二、ST段的异常改变及临床意义</w:t>
      </w:r>
      <w:bookmarkEnd w:id="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ST段抬高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：J点后60-80ms处ST段抬高超过正常值（如V2-V3导联男性≥0.2mV，女性≥0.15mV）。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943225" cy="1914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急性心肌梗死（AMI）</w:t>
      </w:r>
      <w:r>
        <w:rPr>
          <w:rFonts w:eastAsia="等线" w:ascii="Arial" w:cs="Arial" w:hAnsi="Arial"/>
          <w:sz w:val="22"/>
        </w:rPr>
        <w:t xml:space="preserve">：ST段弓背向上抬高，与T波形成单向曲线，伴病理性Q波和T波倒置。定位意义： 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前壁梗死：V1-V4导联ST抬高。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2905125" cy="11239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下壁梗死：II、III、aVF导联ST抬高。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2857500" cy="19526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侧壁梗死：I、aVL、V5-V6导联ST抬高。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2924175" cy="1943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变异型心绞痛</w:t>
      </w:r>
      <w:r>
        <w:rPr>
          <w:rFonts w:eastAsia="等线" w:ascii="Arial" w:cs="Arial" w:hAnsi="Arial"/>
          <w:sz w:val="22"/>
        </w:rPr>
        <w:t>：一过性ST段抬高，症状缓解后恢复，常伴心律失常。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90850" cy="1924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急性心包炎</w:t>
      </w:r>
      <w:r>
        <w:rPr>
          <w:rFonts w:eastAsia="等线" w:ascii="Arial" w:cs="Arial" w:hAnsi="Arial"/>
          <w:sz w:val="22"/>
        </w:rPr>
        <w:t>：广泛导联（除aVR和V1外）ST段凹面向上抬高，伴PR段压低。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52750" cy="1409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Brugada综合征</w:t>
      </w:r>
      <w:r>
        <w:rPr>
          <w:rFonts w:eastAsia="等线" w:ascii="Arial" w:cs="Arial" w:hAnsi="Arial"/>
          <w:sz w:val="22"/>
        </w:rPr>
        <w:t>：右胸导联（V1-V3）ST段下斜型或马鞍型抬高，伴右束支阻滞图形。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05125" cy="1333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室壁瘤</w:t>
      </w:r>
      <w:r>
        <w:rPr>
          <w:rFonts w:eastAsia="等线" w:ascii="Arial" w:cs="Arial" w:hAnsi="Arial"/>
          <w:sz w:val="22"/>
        </w:rPr>
        <w:t>：心肌梗死后ST段持续抬高超过2周。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14650" cy="17335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早期复极综合征</w:t>
      </w:r>
      <w:r>
        <w:rPr>
          <w:rFonts w:eastAsia="等线" w:ascii="Arial" w:cs="Arial" w:hAnsi="Arial"/>
          <w:sz w:val="22"/>
        </w:rPr>
        <w:t>：ST段凹面向上抬高，伴J波，多见于左胸导联，属正常变异。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43225" cy="19335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高钾血症</w:t>
      </w:r>
      <w:r>
        <w:rPr>
          <w:rFonts w:eastAsia="等线" w:ascii="Arial" w:cs="Arial" w:hAnsi="Arial"/>
          <w:sz w:val="22"/>
        </w:rPr>
        <w:t>：ST段抬高伴T波高尖、QRS增宽。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14650" cy="19145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左束支阻滞（LBBB）</w:t>
      </w:r>
      <w:r>
        <w:rPr>
          <w:rFonts w:eastAsia="等线" w:ascii="Arial" w:cs="Arial" w:hAnsi="Arial"/>
          <w:sz w:val="22"/>
        </w:rPr>
        <w:t>：V1-V3导联ST段抬高为继发性改变。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81325" cy="20288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机制</w:t>
      </w:r>
      <w:r>
        <w:rPr>
          <w:rFonts w:eastAsia="等线" w:ascii="Arial" w:cs="Arial" w:hAnsi="Arial"/>
          <w:sz w:val="22"/>
        </w:rPr>
        <w:t>：损伤电流学说（舒张期或收缩期损伤电流导致基线偏移）或除极受阻学说。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876550" cy="15811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ST段压低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：J点后60-80ms处ST段压低≥0.05mV（水平型或下斜型更有意义）。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990850" cy="18859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心肌缺血</w:t>
      </w:r>
      <w:r>
        <w:rPr>
          <w:rFonts w:eastAsia="等线" w:ascii="Arial" w:cs="Arial" w:hAnsi="Arial"/>
          <w:sz w:val="22"/>
        </w:rPr>
        <w:t>：心内膜下缺血导致ST段水平型或下斜型压低≥0.1mV，见于稳定型心绞痛、无症状缺血。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3057525" cy="14763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非ST段抬高型心肌梗死（NSTEMI）</w:t>
      </w:r>
      <w:r>
        <w:rPr>
          <w:rFonts w:eastAsia="等线" w:ascii="Arial" w:cs="Arial" w:hAnsi="Arial"/>
          <w:sz w:val="22"/>
        </w:rPr>
        <w:t>：多导联ST段压低，伴T波改变。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81325" cy="15049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左心室肥厚</w:t>
      </w:r>
      <w:r>
        <w:rPr>
          <w:rFonts w:eastAsia="等线" w:ascii="Arial" w:cs="Arial" w:hAnsi="Arial"/>
          <w:sz w:val="22"/>
        </w:rPr>
        <w:t>：左胸导联ST段压低伴T波倒置（劳损型）。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33700" cy="13049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药物影响</w:t>
      </w:r>
      <w:r>
        <w:rPr>
          <w:rFonts w:eastAsia="等线" w:ascii="Arial" w:cs="Arial" w:hAnsi="Arial"/>
          <w:sz w:val="22"/>
        </w:rPr>
        <w:t>：洋地黄效应（ST段鱼钩状压低）、β受体阻滞剂。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电解质紊乱</w:t>
      </w:r>
      <w:r>
        <w:rPr>
          <w:rFonts w:eastAsia="等线" w:ascii="Arial" w:cs="Arial" w:hAnsi="Arial"/>
          <w:sz w:val="22"/>
        </w:rPr>
        <w:t>：低钾血症（ST段压低伴U波）。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快速性心律失常</w:t>
      </w:r>
      <w:r>
        <w:rPr>
          <w:rFonts w:eastAsia="等线" w:ascii="Arial" w:cs="Arial" w:hAnsi="Arial"/>
          <w:sz w:val="22"/>
        </w:rPr>
        <w:t>：心动过速时ST段压低可能为生理性。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临床意义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ST段压低程度和导联数越多，提示缺血范围大、预后差。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14650" cy="13049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aVR导联ST段抬高伴多导联ST段压低，提示左主干或三支病变。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三、ST段改变的机制</w:t>
      </w:r>
      <w:bookmarkEnd w:id="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损伤电流学说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舒张期损伤电流</w:t>
      </w:r>
      <w:r>
        <w:rPr>
          <w:rFonts w:eastAsia="等线" w:ascii="Arial" w:cs="Arial" w:hAnsi="Arial"/>
          <w:sz w:val="22"/>
        </w:rPr>
        <w:t>：损伤心肌静息电位降低，与正常心肌间产生电流，使TP段压低（表现为ST段相对抬高）。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933700" cy="19621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收缩期损伤电流</w:t>
      </w:r>
      <w:r>
        <w:rPr>
          <w:rFonts w:eastAsia="等线" w:ascii="Arial" w:cs="Arial" w:hAnsi="Arial"/>
          <w:sz w:val="22"/>
        </w:rPr>
        <w:t>：损伤心肌除极不全，复极时与正常心肌存在电位差，直接导致ST段抬高。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838450" cy="14382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除极受阻学说</w:t>
      </w:r>
      <w:r>
        <w:rPr>
          <w:rFonts w:eastAsia="等线" w:ascii="Arial" w:cs="Arial" w:hAnsi="Arial"/>
          <w:sz w:val="22"/>
        </w:rPr>
        <w:t>：损伤区心肌除极受阻，正常心肌除极后损伤区仍为正电位，产生指向损伤区的ST向量。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离子通道机制</w:t>
      </w:r>
      <w:r>
        <w:rPr>
          <w:rFonts w:eastAsia="等线" w:ascii="Arial" w:cs="Arial" w:hAnsi="Arial"/>
          <w:sz w:val="22"/>
        </w:rPr>
        <w:t>：如Brugada综合征与钠通道异常相关，早期复极与钾通道外向电流增强有关。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四、ST段改变的鉴别诊断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1pt;mso-width-percent:0;mso-height-percent:0;mso-width-percent:0;mso-height-percent:0" type="#_x0000_t75" o:ole="">
            <v:imagedata r:id="rId29" o:title=""/>
          </v:shape>
          <o:OLEObject DrawAspect="Icon" ObjectID="_1718471219" ProgID="Excel.Sheet.12" ShapeID="_x0000_i1025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急性心肌梗死        弓背向上抬高，动态演变，伴Q波和T波改变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38450" cy="19907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心包炎广泛导联凹面向上抬高，PR段压低       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67025" cy="15240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早期复极综合征         凹面向上抬高，J波，稳定多年          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24175" cy="12096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14650" cy="13906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左束支阻滞        V1-V3导联ST抬高继发于QRS改变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24175" cy="12858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左心室肥厚        左胸导联ST压低伴T波倒置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47975" cy="13620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高钾血症ST段抬高伴T波高尖、QRS增宽          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24175" cy="15430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五、ST段在临床决策中的应用</w:t>
      </w:r>
      <w:bookmarkEnd w:id="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急性冠脉综合征（ACS）</w:t>
      </w:r>
      <w:r>
        <w:rPr>
          <w:rFonts w:eastAsia="等线" w:ascii="Arial" w:cs="Arial" w:hAnsi="Arial"/>
          <w:sz w:val="22"/>
        </w:rPr>
        <w:t>：ST段抬高是STEMI再灌注治疗（溶栓或PCI）的关键指标；ST段压低提示NSTEMI或高危UA。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857500" cy="16002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运动负荷试验</w:t>
      </w:r>
      <w:r>
        <w:rPr>
          <w:rFonts w:eastAsia="等线" w:ascii="Arial" w:cs="Arial" w:hAnsi="Arial"/>
          <w:sz w:val="22"/>
        </w:rPr>
        <w:t>：ST段水平或下斜型压低≥0.1mV（持续1分钟）为阳性，提示心肌缺血。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743200" cy="19050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风险评估</w:t>
      </w:r>
      <w:r>
        <w:rPr>
          <w:rFonts w:eastAsia="等线" w:ascii="Arial" w:cs="Arial" w:hAnsi="Arial"/>
          <w:sz w:val="22"/>
        </w:rPr>
        <w:t>：ST段改变的程度、导联数及动态变化与梗死面积、多支病变风险和死亡率相关。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监测疗效</w:t>
      </w:r>
      <w:r>
        <w:rPr>
          <w:rFonts w:eastAsia="等线" w:ascii="Arial" w:cs="Arial" w:hAnsi="Arial"/>
          <w:sz w:val="22"/>
        </w:rPr>
        <w:t>：再灌注治疗后ST段回落程度可评估血运重建成功与否。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段是心电图评估心室复极的重要段带，其异常改变（抬高或压低）是心肌缺血、梗死、电解质紊乱和结构性心脏病的敏感指标。正确解读ST段需结合临床背景、动态变化和相关导联特征，以避免误诊（如将早期复极误判为心肌梗死）。持续ST段抬高或压低应警惕严重心脏事件，及时干预可改善预后。</w:t>
      </w:r>
    </w:p>
    <w:sectPr>
      <w:footerReference w:type="default" r:id="rId3"/>
      <w:headerReference w:type="default" r:id="rId3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73249">
    <w:lvl>
      <w:numFmt w:val="bullet"/>
      <w:suff w:val="tab"/>
      <w:lvlText w:val="•"/>
      <w:rPr>
        <w:color w:val="3370ff"/>
      </w:rPr>
    </w:lvl>
  </w:abstractNum>
  <w:abstractNum w:abstractNumId="2773250">
    <w:lvl>
      <w:numFmt w:val="bullet"/>
      <w:suff w:val="tab"/>
      <w:lvlText w:val="•"/>
      <w:rPr>
        <w:color w:val="3370ff"/>
      </w:rPr>
    </w:lvl>
  </w:abstractNum>
  <w:abstractNum w:abstractNumId="2773251">
    <w:lvl>
      <w:numFmt w:val="bullet"/>
      <w:suff w:val="tab"/>
      <w:lvlText w:val="•"/>
      <w:rPr>
        <w:color w:val="3370ff"/>
      </w:rPr>
    </w:lvl>
  </w:abstractNum>
  <w:abstractNum w:abstractNumId="2773252">
    <w:lvl>
      <w:numFmt w:val="bullet"/>
      <w:suff w:val="tab"/>
      <w:lvlText w:val="￮"/>
      <w:rPr>
        <w:color w:val="3370ff"/>
      </w:rPr>
    </w:lvl>
  </w:abstractNum>
  <w:abstractNum w:abstractNumId="2773253">
    <w:lvl>
      <w:numFmt w:val="bullet"/>
      <w:suff w:val="tab"/>
      <w:lvlText w:val="￮"/>
      <w:rPr>
        <w:color w:val="3370ff"/>
      </w:rPr>
    </w:lvl>
  </w:abstractNum>
  <w:abstractNum w:abstractNumId="2773254">
    <w:lvl>
      <w:numFmt w:val="bullet"/>
      <w:suff w:val="tab"/>
      <w:lvlText w:val="￮"/>
      <w:rPr>
        <w:color w:val="3370ff"/>
      </w:rPr>
    </w:lvl>
  </w:abstractNum>
  <w:abstractNum w:abstractNumId="2773255">
    <w:lvl>
      <w:numFmt w:val="bullet"/>
      <w:suff w:val="tab"/>
      <w:lvlText w:val="•"/>
      <w:rPr>
        <w:color w:val="3370ff"/>
      </w:rPr>
    </w:lvl>
  </w:abstractNum>
  <w:abstractNum w:abstractNumId="2773256">
    <w:lvl>
      <w:start w:val="1"/>
      <w:numFmt w:val="decimal"/>
      <w:suff w:val="tab"/>
      <w:lvlText w:val="%1."/>
      <w:rPr>
        <w:color w:val="3370ff"/>
      </w:rPr>
    </w:lvl>
  </w:abstractNum>
  <w:abstractNum w:abstractNumId="2773257">
    <w:lvl>
      <w:numFmt w:val="bullet"/>
      <w:suff w:val="tab"/>
      <w:lvlText w:val="•"/>
      <w:rPr>
        <w:color w:val="3370ff"/>
      </w:rPr>
    </w:lvl>
  </w:abstractNum>
  <w:abstractNum w:abstractNumId="2773258">
    <w:lvl>
      <w:numFmt w:val="bullet"/>
      <w:suff w:val="tab"/>
      <w:lvlText w:val="•"/>
      <w:rPr>
        <w:color w:val="3370ff"/>
      </w:rPr>
    </w:lvl>
  </w:abstractNum>
  <w:abstractNum w:abstractNumId="2773259">
    <w:lvl>
      <w:numFmt w:val="bullet"/>
      <w:suff w:val="tab"/>
      <w:lvlText w:val="￮"/>
      <w:rPr>
        <w:color w:val="3370ff"/>
      </w:rPr>
    </w:lvl>
  </w:abstractNum>
  <w:abstractNum w:abstractNumId="2773260">
    <w:lvl>
      <w:numFmt w:val="bullet"/>
      <w:suff w:val="tab"/>
      <w:lvlText w:val="▪"/>
      <w:rPr>
        <w:color w:val="3370ff"/>
        <w:sz w:val="11"/>
      </w:rPr>
    </w:lvl>
  </w:abstractNum>
  <w:abstractNum w:abstractNumId="2773261">
    <w:lvl>
      <w:numFmt w:val="bullet"/>
      <w:suff w:val="tab"/>
      <w:lvlText w:val="▪"/>
      <w:rPr>
        <w:color w:val="3370ff"/>
        <w:sz w:val="11"/>
      </w:rPr>
    </w:lvl>
  </w:abstractNum>
  <w:abstractNum w:abstractNumId="2773262">
    <w:lvl>
      <w:numFmt w:val="bullet"/>
      <w:suff w:val="tab"/>
      <w:lvlText w:val="▪"/>
      <w:rPr>
        <w:color w:val="3370ff"/>
        <w:sz w:val="11"/>
      </w:rPr>
    </w:lvl>
  </w:abstractNum>
  <w:abstractNum w:abstractNumId="2773263">
    <w:lvl>
      <w:numFmt w:val="bullet"/>
      <w:suff w:val="tab"/>
      <w:lvlText w:val="￮"/>
      <w:rPr>
        <w:color w:val="3370ff"/>
      </w:rPr>
    </w:lvl>
  </w:abstractNum>
  <w:abstractNum w:abstractNumId="2773264">
    <w:lvl>
      <w:numFmt w:val="bullet"/>
      <w:suff w:val="tab"/>
      <w:lvlText w:val="￮"/>
      <w:rPr>
        <w:color w:val="3370ff"/>
      </w:rPr>
    </w:lvl>
  </w:abstractNum>
  <w:abstractNum w:abstractNumId="2773265">
    <w:lvl>
      <w:numFmt w:val="bullet"/>
      <w:suff w:val="tab"/>
      <w:lvlText w:val="￮"/>
      <w:rPr>
        <w:color w:val="3370ff"/>
      </w:rPr>
    </w:lvl>
  </w:abstractNum>
  <w:abstractNum w:abstractNumId="2773266">
    <w:lvl>
      <w:numFmt w:val="bullet"/>
      <w:suff w:val="tab"/>
      <w:lvlText w:val="￮"/>
      <w:rPr>
        <w:color w:val="3370ff"/>
      </w:rPr>
    </w:lvl>
  </w:abstractNum>
  <w:abstractNum w:abstractNumId="2773267">
    <w:lvl>
      <w:numFmt w:val="bullet"/>
      <w:suff w:val="tab"/>
      <w:lvlText w:val="￮"/>
      <w:rPr>
        <w:color w:val="3370ff"/>
      </w:rPr>
    </w:lvl>
  </w:abstractNum>
  <w:abstractNum w:abstractNumId="2773268">
    <w:lvl>
      <w:numFmt w:val="bullet"/>
      <w:suff w:val="tab"/>
      <w:lvlText w:val="￮"/>
      <w:rPr>
        <w:color w:val="3370ff"/>
      </w:rPr>
    </w:lvl>
  </w:abstractNum>
  <w:abstractNum w:abstractNumId="2773269">
    <w:lvl>
      <w:numFmt w:val="bullet"/>
      <w:suff w:val="tab"/>
      <w:lvlText w:val="￮"/>
      <w:rPr>
        <w:color w:val="3370ff"/>
      </w:rPr>
    </w:lvl>
  </w:abstractNum>
  <w:abstractNum w:abstractNumId="2773270">
    <w:lvl>
      <w:numFmt w:val="bullet"/>
      <w:suff w:val="tab"/>
      <w:lvlText w:val="•"/>
      <w:rPr>
        <w:color w:val="3370ff"/>
      </w:rPr>
    </w:lvl>
  </w:abstractNum>
  <w:abstractNum w:abstractNumId="2773271">
    <w:lvl>
      <w:start w:val="2"/>
      <w:numFmt w:val="decimal"/>
      <w:suff w:val="tab"/>
      <w:lvlText w:val="%1."/>
      <w:rPr>
        <w:color w:val="3370ff"/>
      </w:rPr>
    </w:lvl>
  </w:abstractNum>
  <w:abstractNum w:abstractNumId="2773272">
    <w:lvl>
      <w:numFmt w:val="bullet"/>
      <w:suff w:val="tab"/>
      <w:lvlText w:val="•"/>
      <w:rPr>
        <w:color w:val="3370ff"/>
      </w:rPr>
    </w:lvl>
  </w:abstractNum>
  <w:abstractNum w:abstractNumId="2773273">
    <w:lvl>
      <w:numFmt w:val="bullet"/>
      <w:suff w:val="tab"/>
      <w:lvlText w:val="•"/>
      <w:rPr>
        <w:color w:val="3370ff"/>
      </w:rPr>
    </w:lvl>
  </w:abstractNum>
  <w:abstractNum w:abstractNumId="2773274">
    <w:lvl>
      <w:numFmt w:val="bullet"/>
      <w:suff w:val="tab"/>
      <w:lvlText w:val="￮"/>
      <w:rPr>
        <w:color w:val="3370ff"/>
      </w:rPr>
    </w:lvl>
  </w:abstractNum>
  <w:abstractNum w:abstractNumId="2773275">
    <w:lvl>
      <w:numFmt w:val="bullet"/>
      <w:suff w:val="tab"/>
      <w:lvlText w:val="￮"/>
      <w:rPr>
        <w:color w:val="3370ff"/>
      </w:rPr>
    </w:lvl>
  </w:abstractNum>
  <w:abstractNum w:abstractNumId="2773276">
    <w:lvl>
      <w:numFmt w:val="bullet"/>
      <w:suff w:val="tab"/>
      <w:lvlText w:val="￮"/>
      <w:rPr>
        <w:color w:val="3370ff"/>
      </w:rPr>
    </w:lvl>
  </w:abstractNum>
  <w:abstractNum w:abstractNumId="2773277">
    <w:lvl>
      <w:numFmt w:val="bullet"/>
      <w:suff w:val="tab"/>
      <w:lvlText w:val="￮"/>
      <w:rPr>
        <w:color w:val="3370ff"/>
      </w:rPr>
    </w:lvl>
  </w:abstractNum>
  <w:abstractNum w:abstractNumId="2773278">
    <w:lvl>
      <w:numFmt w:val="bullet"/>
      <w:suff w:val="tab"/>
      <w:lvlText w:val="￮"/>
      <w:rPr>
        <w:color w:val="3370ff"/>
      </w:rPr>
    </w:lvl>
  </w:abstractNum>
  <w:abstractNum w:abstractNumId="2773279">
    <w:lvl>
      <w:numFmt w:val="bullet"/>
      <w:suff w:val="tab"/>
      <w:lvlText w:val="￮"/>
      <w:rPr>
        <w:color w:val="3370ff"/>
      </w:rPr>
    </w:lvl>
  </w:abstractNum>
  <w:abstractNum w:abstractNumId="2773280">
    <w:lvl>
      <w:numFmt w:val="bullet"/>
      <w:suff w:val="tab"/>
      <w:lvlText w:val="•"/>
      <w:rPr>
        <w:color w:val="3370ff"/>
      </w:rPr>
    </w:lvl>
  </w:abstractNum>
  <w:abstractNum w:abstractNumId="2773281">
    <w:lvl>
      <w:numFmt w:val="bullet"/>
      <w:suff w:val="tab"/>
      <w:lvlText w:val="￮"/>
      <w:rPr>
        <w:color w:val="3370ff"/>
      </w:rPr>
    </w:lvl>
  </w:abstractNum>
  <w:abstractNum w:abstractNumId="2773282">
    <w:lvl>
      <w:numFmt w:val="bullet"/>
      <w:suff w:val="tab"/>
      <w:lvlText w:val="￮"/>
      <w:rPr>
        <w:color w:val="3370ff"/>
      </w:rPr>
    </w:lvl>
  </w:abstractNum>
  <w:abstractNum w:abstractNumId="2773283">
    <w:lvl>
      <w:start w:val="1"/>
      <w:numFmt w:val="decimal"/>
      <w:suff w:val="tab"/>
      <w:lvlText w:val="%1."/>
      <w:rPr>
        <w:color w:val="3370ff"/>
      </w:rPr>
    </w:lvl>
  </w:abstractNum>
  <w:abstractNum w:abstractNumId="2773284">
    <w:lvl>
      <w:numFmt w:val="bullet"/>
      <w:suff w:val="tab"/>
      <w:lvlText w:val="￮"/>
      <w:rPr>
        <w:color w:val="3370ff"/>
      </w:rPr>
    </w:lvl>
  </w:abstractNum>
  <w:abstractNum w:abstractNumId="2773285">
    <w:lvl>
      <w:numFmt w:val="bullet"/>
      <w:suff w:val="tab"/>
      <w:lvlText w:val="￮"/>
      <w:rPr>
        <w:color w:val="3370ff"/>
      </w:rPr>
    </w:lvl>
  </w:abstractNum>
  <w:abstractNum w:abstractNumId="2773286">
    <w:lvl>
      <w:start w:val="2"/>
      <w:numFmt w:val="decimal"/>
      <w:suff w:val="tab"/>
      <w:lvlText w:val="%1."/>
      <w:rPr>
        <w:color w:val="3370ff"/>
      </w:rPr>
    </w:lvl>
  </w:abstractNum>
  <w:abstractNum w:abstractNumId="2773287">
    <w:lvl>
      <w:start w:val="3"/>
      <w:numFmt w:val="decimal"/>
      <w:suff w:val="tab"/>
      <w:lvlText w:val="%1."/>
      <w:rPr>
        <w:color w:val="3370ff"/>
      </w:rPr>
    </w:lvl>
  </w:abstractNum>
  <w:abstractNum w:abstractNumId="2773288">
    <w:lvl>
      <w:numFmt w:val="bullet"/>
      <w:suff w:val="tab"/>
      <w:lvlText w:val="•"/>
      <w:rPr>
        <w:color w:val="3370ff"/>
      </w:rPr>
    </w:lvl>
  </w:abstractNum>
  <w:abstractNum w:abstractNumId="2773289">
    <w:lvl>
      <w:numFmt w:val="bullet"/>
      <w:suff w:val="tab"/>
      <w:lvlText w:val="•"/>
      <w:rPr>
        <w:color w:val="3370ff"/>
      </w:rPr>
    </w:lvl>
  </w:abstractNum>
  <w:abstractNum w:abstractNumId="2773290">
    <w:lvl>
      <w:numFmt w:val="bullet"/>
      <w:suff w:val="tab"/>
      <w:lvlText w:val="•"/>
      <w:rPr>
        <w:color w:val="3370ff"/>
      </w:rPr>
    </w:lvl>
  </w:abstractNum>
  <w:abstractNum w:abstractNumId="2773291">
    <w:lvl>
      <w:numFmt w:val="bullet"/>
      <w:suff w:val="tab"/>
      <w:lvlText w:val="•"/>
      <w:rPr>
        <w:color w:val="3370ff"/>
      </w:rPr>
    </w:lvl>
  </w:abstractNum>
  <w:num w:numId="1">
    <w:abstractNumId w:val="2773249"/>
  </w:num>
  <w:num w:numId="2">
    <w:abstractNumId w:val="2773250"/>
  </w:num>
  <w:num w:numId="3">
    <w:abstractNumId w:val="2773251"/>
  </w:num>
  <w:num w:numId="4">
    <w:abstractNumId w:val="2773252"/>
  </w:num>
  <w:num w:numId="5">
    <w:abstractNumId w:val="2773253"/>
  </w:num>
  <w:num w:numId="6">
    <w:abstractNumId w:val="2773254"/>
  </w:num>
  <w:num w:numId="7">
    <w:abstractNumId w:val="2773255"/>
  </w:num>
  <w:num w:numId="8">
    <w:abstractNumId w:val="2773256"/>
  </w:num>
  <w:num w:numId="9">
    <w:abstractNumId w:val="2773257"/>
  </w:num>
  <w:num w:numId="10">
    <w:abstractNumId w:val="2773258"/>
  </w:num>
  <w:num w:numId="11">
    <w:abstractNumId w:val="2773259"/>
  </w:num>
  <w:num w:numId="12">
    <w:abstractNumId w:val="2773260"/>
  </w:num>
  <w:num w:numId="13">
    <w:abstractNumId w:val="2773261"/>
  </w:num>
  <w:num w:numId="14">
    <w:abstractNumId w:val="2773262"/>
  </w:num>
  <w:num w:numId="15">
    <w:abstractNumId w:val="2773263"/>
  </w:num>
  <w:num w:numId="16">
    <w:abstractNumId w:val="2773264"/>
  </w:num>
  <w:num w:numId="17">
    <w:abstractNumId w:val="2773265"/>
  </w:num>
  <w:num w:numId="18">
    <w:abstractNumId w:val="2773266"/>
  </w:num>
  <w:num w:numId="19">
    <w:abstractNumId w:val="2773267"/>
  </w:num>
  <w:num w:numId="20">
    <w:abstractNumId w:val="2773268"/>
  </w:num>
  <w:num w:numId="21">
    <w:abstractNumId w:val="2773269"/>
  </w:num>
  <w:num w:numId="22">
    <w:abstractNumId w:val="2773270"/>
  </w:num>
  <w:num w:numId="23">
    <w:abstractNumId w:val="2773271"/>
  </w:num>
  <w:num w:numId="24">
    <w:abstractNumId w:val="2773272"/>
  </w:num>
  <w:num w:numId="25">
    <w:abstractNumId w:val="2773273"/>
  </w:num>
  <w:num w:numId="26">
    <w:abstractNumId w:val="2773274"/>
  </w:num>
  <w:num w:numId="27">
    <w:abstractNumId w:val="2773275"/>
  </w:num>
  <w:num w:numId="28">
    <w:abstractNumId w:val="2773276"/>
  </w:num>
  <w:num w:numId="29">
    <w:abstractNumId w:val="2773277"/>
  </w:num>
  <w:num w:numId="30">
    <w:abstractNumId w:val="2773278"/>
  </w:num>
  <w:num w:numId="31">
    <w:abstractNumId w:val="2773279"/>
  </w:num>
  <w:num w:numId="32">
    <w:abstractNumId w:val="2773280"/>
  </w:num>
  <w:num w:numId="33">
    <w:abstractNumId w:val="2773281"/>
  </w:num>
  <w:num w:numId="34">
    <w:abstractNumId w:val="2773282"/>
  </w:num>
  <w:num w:numId="35">
    <w:abstractNumId w:val="2773283"/>
  </w:num>
  <w:num w:numId="36">
    <w:abstractNumId w:val="2773284"/>
  </w:num>
  <w:num w:numId="37">
    <w:abstractNumId w:val="2773285"/>
  </w:num>
  <w:num w:numId="38">
    <w:abstractNumId w:val="2773286"/>
  </w:num>
  <w:num w:numId="39">
    <w:abstractNumId w:val="2773287"/>
  </w:num>
  <w:num w:numId="40">
    <w:abstractNumId w:val="2773288"/>
  </w:num>
  <w:num w:numId="41">
    <w:abstractNumId w:val="2773289"/>
  </w:num>
  <w:num w:numId="42">
    <w:abstractNumId w:val="2773290"/>
  </w:num>
  <w:num w:numId="43">
    <w:abstractNumId w:val="27732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embeddings/Microsoft_Excel_Worksheet1.xlsx" Type="http://schemas.openxmlformats.org/officeDocument/2006/relationships/pack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header1.xml" Type="http://schemas.openxmlformats.org/officeDocument/2006/relationships/head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3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2025-12-30T10:07:39Z</dcterms:created>
  <dc:creator>Apache POI</dc:creator>
</cp:coreProperties>
</file>