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健康+ HRV 心率变异性医学分析报告（上线完成)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线上效果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真实用</w:t>
      </w:r>
      <w:r>
        <w:rPr>
          <w:rFonts w:eastAsia="等线" w:ascii="Arial" w:cs="Arial" w:hAnsi="Arial"/>
          <w:sz w:val="22"/>
        </w:rPr>
        <w:t>户的数据展示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dee0e3"/>
              </w:rPr>
              <w:t>[该类型的内容暂不支持下载]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dee0e3"/>
              </w:rPr>
              <w:t>[该类型的内容暂不支持下载]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dee0e3"/>
              </w:rPr>
              <w:t>[该类型的内容暂不支持下载]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张文慧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dee0e3"/>
              </w:rPr>
              <w:t>[该类型的内容暂不支持下载]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卢寰旭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dee0e3"/>
              </w:rPr>
              <w:t>[该类型的内容暂不支持下载]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需求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审批人：待审批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一、产品概述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产品定位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HRV 心率变异性医学分析报告系统是一款医疗级健康监测辅助工具，基于用户连续心率变异性（HRV）监测数据，通过医学标准算法（平均值 ± 标准差）计算个人化基准范围，以直观的图表、专业的医学解读，为用户提供自主神经系统功能状态评估，同时为医疗专业人员提供数据参考（非诊断依据）。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核心价值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用户侧：可视化呈现 HRV 数据趋势，明确健康状态（最佳 / 正常 / 需关注），获取个性化健康建议，辅助调整生活方式。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医疗侧：提供标准化的 HRV 数据报告，支持数据导出，为自主神经功能相关疾病的辅助评估提供数据支撑。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 产品目标</w:t>
      </w:r>
      <w:bookmarkEnd w:id="5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 HRV 数据的医疗级可视化呈现，核心指标（平均 / 最高 / 最低 HRV）计算准确率 100%。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基准线及区间分析逻辑符合医学标准，图表交互流畅，数据更新延迟≤1s。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满足普通用户健康自查与医疗专业人员数据参考的双重需求，合规性符合《个人信息保护法》《健康医疗数据安全指南》。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二、目标用户与场景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目标用户</w:t>
      </w:r>
      <w:bookmarkEnd w:id="7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31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核心用户场景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 1：普通用户日常健康监测用户打开系统，查看首页数据概览（平均 HRV、最高 / 最低 HRV 及状态），通过趋势图表观察近 14 天 HRV 与基准线的关系，发现某 3 天 HRV 低于基准线，查看医学解读中的 “临床建议”，调整睡前使用电子设备的时间。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 2：医生辅助评估患者数据医生登录系统（专业版），筛选患者近 30 天 HRV 数据，查看趋势图表中基准线的变化，导出 CSV 格式数据存档，结合患者症状判断是否存在自主神经功能紊乱风险。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三、核心功能模块</w:t>
      </w:r>
      <w:bookmarkEnd w:id="9"/>
    </w:p>
    <w:p>
      <w:pPr>
        <w:spacing w:before="120" w:after="120" w:line="288" w:lineRule="auto"/>
        <w:ind w:left="0"/>
      </w:pPr>
      <w:r>
        <w:object>
          <v:shape id="_x0000_i1026" style="width:414pt;height:126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四、功能详情设计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 数据概览模块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4.1.1 功能描述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 HRV 核心指标及状态，支持实时更新（数据来源：用户监测设备 / 第三方健康平台接口）。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4.1.2 详细规则</w:t>
      </w:r>
      <w:bookmarkEnd w:id="13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4.1.3 交互逻辑</w:t>
      </w:r>
      <w:bookmarkEnd w:id="1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数据更新：当新监测数据接入时，概览指标实时刷新，进度条动画过渡（时长 0.5s）。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状态标签：鼠标 hover 时显示 tooltip（如 “最佳状态：HRV&gt;120ms，自主神经功能良好”）。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趋势图表模块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4.2.1 功能描述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以折线图展示 HRV 趋势，叠加个人化基准线（上限 / 下限）及区间甬道，支持数据筛选与交互查询。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4.2.2 核心规则</w:t>
      </w:r>
      <w:bookmarkEnd w:id="17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基准线计算逻辑（医疗级核心规则）：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对当前展示的第 N 个数据点（按时间升序），基准线基于 “该点之前的所有历史数据（不包含当前点）” 计算。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基准线上限 = 历史数据平均值 + 历史数据标准差；基准线下限 = 历史数据平均值 - 历史数据标准差。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若无历史数据（第一个点），基准线上限 = 当前 HRV×1.1，基准线下限 = 当前 HRV×0.9。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图表视觉规则：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数据筛选规则：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支持下拉选择 “显示记录数”：7/14/20/30 条 / 全部，默认 14 条。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筛选后图表实时更新（动画过渡时长 1s），基准线重新计算。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4.2.3 交互逻辑</w:t>
      </w:r>
      <w:bookmarkEnd w:id="18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tooltip 交互：鼠标 hover 数据点时，显示 “监测时间、HRV 数值、基准范围、状态解读、历史数据量”（如 “2025-10-14 20:32:30 | HRV：141ms | 基准范围：105-125ms | 高于基准线（自主神经功能良好） | 基于 12 条历史数据计算”）。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图例交互：点击图例（如 “高于基准线”）可 toggle 对应数据点的显示 / 隐藏。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4.3 医学解读模块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4.3.1 功能描述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提供专业的 HRV 医学知识、基准范围解读及临床建议，避免医疗诊断表述，仅作健康参考。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4.3.2 内容规范</w:t>
      </w:r>
      <w:bookmarkEnd w:id="21"/>
    </w:p>
    <w:p>
      <w:pPr>
        <w:spacing w:before="120" w:after="120" w:line="288" w:lineRule="auto"/>
        <w:ind w:left="0"/>
      </w:pPr>
      <w:r>
        <w:object>
          <v:shape id="_x0000_i1029" style="width:414pt;height:131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4.3.3 视觉设计</w:t>
      </w:r>
      <w:bookmarkEnd w:id="22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每个解读板块前加对应图标（如 HRV 定义→心跳图标、临床建议→医疗箱图标），左侧加 4px 宽医疗蓝绿（#0f766e）边框，增强专业感。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4.4 数据管理模块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4.4.1 功能描述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展示详细 HRV 监测数据表格，支持按时间排序（最新在前）与 CSV 格式导出。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4.4.2 表格规则</w:t>
      </w:r>
      <w:bookmarkEnd w:id="25"/>
    </w:p>
    <w:p>
      <w:pPr>
        <w:spacing w:before="120" w:after="120" w:line="288" w:lineRule="auto"/>
        <w:ind w:left="0"/>
      </w:pPr>
      <w:r>
        <w:object>
          <v:shape id="_x0000_i1030" style="width:414pt;height:153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4.4.3 导出功能</w:t>
      </w:r>
      <w:bookmarkEnd w:id="26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导出按钮：位于表格右上角，图标 + 文本（“&lt;i class="fa fa-download"&gt;&lt;/i&gt; 导出完整数据”），点击后下载 CSV 文件。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CSV 格式：表头 “监测时间，HRV 数值 (ms)”，数据按时间升序排列，文件名 “HRV 监测数据_YYYY-MM-DD.csv”（如 “HRV 监测数据_2025-10-15.csv”）。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五、交互与视觉规范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5.1 交互规范</w:t>
      </w:r>
      <w:bookmarkEnd w:id="28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全局交互：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所有可点击元素（按钮、下拉框、图例）hover 时显示阴影 / 颜色变化（如按钮 hover 背景色 #0d9488）。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数据加载状态：图表 / 表格加载时显示骨架屏（医疗蓝绿渐变占位），加载时长≤1s。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响应式适配：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桌面端（≥1200px）：三列概览卡片，两列分布 + 解读模块。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平板端（768-1199px）：两列概览卡片，单列分布 + 解读模块。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移动端（&lt;768px）：单列概览卡片，单列分布 + 解读模块，图表 X 轴标签横向滚动。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5.2 视觉规范</w:t>
      </w:r>
      <w:bookmarkEnd w:id="29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颜色系统（医疗级专业配色）：</w:t>
      </w:r>
    </w:p>
    <w:p>
      <w:pPr>
        <w:spacing w:before="120" w:after="120" w:line="288" w:lineRule="auto"/>
        <w:ind w:left="0"/>
      </w:pPr>
      <w:r>
        <w:object>
          <v:shape id="_x0000_i1031" style="width:414pt;height:177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组件规范：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卡片：圆角 12px，阴影 0 4px 6px -1px rgba (0,0,0,0.1)，内边距 24px。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按钮：圆角 6px，内边距 16px×8px，字体大小 14px，hover 时透明度 0.9。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表格：表头背景 #f9fafb，行 hover 背景 #f3f4f6，边框颜色 #e5e7eb。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六、非功能需求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6.1 数据安全</w:t>
      </w:r>
      <w:bookmarkEnd w:id="31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用户健康数据（HRV 数值、监测时间）传输采用 HTTPS 加密，存储符合《个人信息保护法》要求，脱敏处理（如用户 ID 加密存储）。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数据导出权限控制：普通用户仅可导出本人数据，医疗专业人员需实名认证 + 机构授权后方可导出患者数据。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6.2 性能要求</w:t>
      </w:r>
      <w:bookmarkEnd w:id="32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页面加载时间：首屏≤2s，完整页面≤3s。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图表渲染：100 条数据以内，渲染时间≤500ms；100-500 条数据，渲染时间≤1s。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数据更新：新数据接入后，概览 + 图表更新延迟≤1s。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6.3 兼容性</w:t>
      </w:r>
      <w:bookmarkEnd w:id="33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浏览器兼容：支持 Chrome（≥90）、Safari（≥14）、Edge（≥90）、Firefox（≥88）。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设备兼容：支持桌面端（Windows/macOS）、平板（iPad / 安卓平板）、移动端（iOS≥13，Android≥10）。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6.4 合规性</w:t>
      </w:r>
      <w:bookmarkEnd w:id="34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医疗相关表述：避免 “诊断”“治疗” 等医疗行为词汇，所有解读标注 “本报告仅供健康参考，不构成医疗诊断依据”。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隐私政策：明确告知用户数据收集、使用、存储范围，用户可随时申请数据删除。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七、项目排期</w:t>
      </w:r>
      <w:bookmarkEnd w:id="35"/>
    </w:p>
    <w:p>
      <w:pPr>
        <w:spacing w:before="120" w:after="120" w:line="288" w:lineRule="auto"/>
        <w:ind w:left="0"/>
      </w:pPr>
      <w:r>
        <w:object>
          <v:shape id="_x0000_i1032" style="width:414pt;height:197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八、附录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8.1 术语定义</w:t>
      </w:r>
      <w:bookmarkEnd w:id="37"/>
    </w:p>
    <w:p>
      <w:pPr>
        <w:spacing w:before="120" w:after="120" w:line="288" w:lineRule="auto"/>
        <w:ind w:left="0"/>
      </w:pPr>
      <w:r>
        <w:object>
          <v:shape id="_x0000_i1033" style="width:414pt;height:115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8.2 参考文档</w:t>
      </w:r>
      <w:bookmarkEnd w:id="38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《心率变异性临床应用中国专家共识（2023）》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《个人信息保护法》（2021 年实施）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《健康医疗数据安全指南》（GB/T 39725-2020）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UI 草图</w:t>
      </w:r>
      <w:bookmarkEnd w:id="39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345757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34575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34575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34575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345757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00200" cy="345757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真实用户页面效果</w:t>
      </w:r>
      <w:bookmarkEnd w:id="4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184"/>
        <w:gridCol w:w="5095"/>
      </w:tblGrid>
      <w:tr>
        <w:tc>
          <w:tcPr>
            <w:tcW w:w="318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dee0e3"/>
              </w:rPr>
              <w:t>[该类型的内容暂不支持下载]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715809">
    <w:lvl>
      <w:numFmt w:val="bullet"/>
      <w:suff w:val="tab"/>
      <w:lvlText w:val="•"/>
      <w:rPr>
        <w:color w:val="3370ff"/>
      </w:rPr>
    </w:lvl>
  </w:abstractNum>
  <w:abstractNum w:abstractNumId="1715810">
    <w:lvl>
      <w:numFmt w:val="bullet"/>
      <w:suff w:val="tab"/>
      <w:lvlText w:val="•"/>
      <w:rPr>
        <w:color w:val="3370ff"/>
      </w:rPr>
    </w:lvl>
  </w:abstractNum>
  <w:abstractNum w:abstractNumId="1715811">
    <w:lvl>
      <w:start w:val="1"/>
      <w:numFmt w:val="decimal"/>
      <w:suff w:val="tab"/>
      <w:lvlText w:val="%1."/>
      <w:rPr>
        <w:color w:val="3370ff"/>
      </w:rPr>
    </w:lvl>
  </w:abstractNum>
  <w:abstractNum w:abstractNumId="1715812">
    <w:lvl>
      <w:start w:val="2"/>
      <w:numFmt w:val="decimal"/>
      <w:suff w:val="tab"/>
      <w:lvlText w:val="%1."/>
      <w:rPr>
        <w:color w:val="3370ff"/>
      </w:rPr>
    </w:lvl>
  </w:abstractNum>
  <w:abstractNum w:abstractNumId="1715813">
    <w:lvl>
      <w:start w:val="3"/>
      <w:numFmt w:val="decimal"/>
      <w:suff w:val="tab"/>
      <w:lvlText w:val="%1."/>
      <w:rPr>
        <w:color w:val="3370ff"/>
      </w:rPr>
    </w:lvl>
  </w:abstractNum>
  <w:abstractNum w:abstractNumId="1715814">
    <w:lvl>
      <w:numFmt w:val="bullet"/>
      <w:suff w:val="tab"/>
      <w:lvlText w:val="•"/>
      <w:rPr>
        <w:color w:val="3370ff"/>
      </w:rPr>
    </w:lvl>
  </w:abstractNum>
  <w:abstractNum w:abstractNumId="1715815">
    <w:lvl>
      <w:numFmt w:val="bullet"/>
      <w:suff w:val="tab"/>
      <w:lvlText w:val="•"/>
      <w:rPr>
        <w:color w:val="3370ff"/>
      </w:rPr>
    </w:lvl>
  </w:abstractNum>
  <w:abstractNum w:abstractNumId="1715816">
    <w:lvl>
      <w:start w:val="1"/>
      <w:numFmt w:val="decimal"/>
      <w:suff w:val="tab"/>
      <w:lvlText w:val="%1."/>
      <w:rPr>
        <w:color w:val="3370ff"/>
      </w:rPr>
    </w:lvl>
  </w:abstractNum>
  <w:abstractNum w:abstractNumId="1715817">
    <w:lvl>
      <w:numFmt w:val="bullet"/>
      <w:suff w:val="tab"/>
      <w:lvlText w:val="￮"/>
      <w:rPr>
        <w:color w:val="3370ff"/>
      </w:rPr>
    </w:lvl>
  </w:abstractNum>
  <w:abstractNum w:abstractNumId="1715818">
    <w:lvl>
      <w:numFmt w:val="bullet"/>
      <w:suff w:val="tab"/>
      <w:lvlText w:val="￮"/>
      <w:rPr>
        <w:color w:val="3370ff"/>
      </w:rPr>
    </w:lvl>
  </w:abstractNum>
  <w:abstractNum w:abstractNumId="1715819">
    <w:lvl>
      <w:numFmt w:val="bullet"/>
      <w:suff w:val="tab"/>
      <w:lvlText w:val="￮"/>
      <w:rPr>
        <w:color w:val="3370ff"/>
      </w:rPr>
    </w:lvl>
  </w:abstractNum>
  <w:abstractNum w:abstractNumId="1715820">
    <w:lvl>
      <w:start w:val="2"/>
      <w:numFmt w:val="decimal"/>
      <w:suff w:val="tab"/>
      <w:lvlText w:val="%1."/>
      <w:rPr>
        <w:color w:val="3370ff"/>
      </w:rPr>
    </w:lvl>
  </w:abstractNum>
  <w:abstractNum w:abstractNumId="1715821">
    <w:lvl>
      <w:start w:val="1"/>
      <w:numFmt w:val="decimal"/>
      <w:suff w:val="tab"/>
      <w:lvlText w:val="%1."/>
      <w:rPr>
        <w:color w:val="3370ff"/>
      </w:rPr>
    </w:lvl>
  </w:abstractNum>
  <w:abstractNum w:abstractNumId="1715822">
    <w:lvl>
      <w:numFmt w:val="bullet"/>
      <w:suff w:val="tab"/>
      <w:lvlText w:val="￮"/>
      <w:rPr>
        <w:color w:val="3370ff"/>
      </w:rPr>
    </w:lvl>
  </w:abstractNum>
  <w:abstractNum w:abstractNumId="1715823">
    <w:lvl>
      <w:numFmt w:val="bullet"/>
      <w:suff w:val="tab"/>
      <w:lvlText w:val="￮"/>
      <w:rPr>
        <w:color w:val="3370ff"/>
      </w:rPr>
    </w:lvl>
  </w:abstractNum>
  <w:abstractNum w:abstractNumId="1715824">
    <w:lvl>
      <w:numFmt w:val="bullet"/>
      <w:suff w:val="tab"/>
      <w:lvlText w:val="•"/>
      <w:rPr>
        <w:color w:val="3370ff"/>
      </w:rPr>
    </w:lvl>
  </w:abstractNum>
  <w:abstractNum w:abstractNumId="1715825">
    <w:lvl>
      <w:numFmt w:val="bullet"/>
      <w:suff w:val="tab"/>
      <w:lvlText w:val="•"/>
      <w:rPr>
        <w:color w:val="3370ff"/>
      </w:rPr>
    </w:lvl>
  </w:abstractNum>
  <w:abstractNum w:abstractNumId="1715826">
    <w:lvl>
      <w:numFmt w:val="bullet"/>
      <w:suff w:val="tab"/>
      <w:lvlText w:val="•"/>
      <w:rPr>
        <w:color w:val="3370ff"/>
      </w:rPr>
    </w:lvl>
  </w:abstractNum>
  <w:abstractNum w:abstractNumId="1715827">
    <w:lvl>
      <w:numFmt w:val="bullet"/>
      <w:suff w:val="tab"/>
      <w:lvlText w:val="•"/>
      <w:rPr>
        <w:color w:val="3370ff"/>
      </w:rPr>
    </w:lvl>
  </w:abstractNum>
  <w:abstractNum w:abstractNumId="1715828">
    <w:lvl>
      <w:numFmt w:val="bullet"/>
      <w:suff w:val="tab"/>
      <w:lvlText w:val="•"/>
      <w:rPr>
        <w:color w:val="3370ff"/>
      </w:rPr>
    </w:lvl>
  </w:abstractNum>
  <w:abstractNum w:abstractNumId="1715829">
    <w:lvl>
      <w:start w:val="1"/>
      <w:numFmt w:val="decimal"/>
      <w:suff w:val="tab"/>
      <w:lvlText w:val="%1."/>
      <w:rPr>
        <w:color w:val="3370ff"/>
      </w:rPr>
    </w:lvl>
  </w:abstractNum>
  <w:abstractNum w:abstractNumId="1715830">
    <w:lvl>
      <w:numFmt w:val="bullet"/>
      <w:suff w:val="tab"/>
      <w:lvlText w:val="￮"/>
      <w:rPr>
        <w:color w:val="3370ff"/>
      </w:rPr>
    </w:lvl>
  </w:abstractNum>
  <w:abstractNum w:abstractNumId="1715831">
    <w:lvl>
      <w:numFmt w:val="bullet"/>
      <w:suff w:val="tab"/>
      <w:lvlText w:val="￮"/>
      <w:rPr>
        <w:color w:val="3370ff"/>
      </w:rPr>
    </w:lvl>
  </w:abstractNum>
  <w:abstractNum w:abstractNumId="1715832">
    <w:lvl>
      <w:start w:val="2"/>
      <w:numFmt w:val="decimal"/>
      <w:suff w:val="tab"/>
      <w:lvlText w:val="%1."/>
      <w:rPr>
        <w:color w:val="3370ff"/>
      </w:rPr>
    </w:lvl>
  </w:abstractNum>
  <w:abstractNum w:abstractNumId="1715833">
    <w:lvl>
      <w:numFmt w:val="bullet"/>
      <w:suff w:val="tab"/>
      <w:lvlText w:val="￮"/>
      <w:rPr>
        <w:color w:val="3370ff"/>
      </w:rPr>
    </w:lvl>
  </w:abstractNum>
  <w:abstractNum w:abstractNumId="1715834">
    <w:lvl>
      <w:numFmt w:val="bullet"/>
      <w:suff w:val="tab"/>
      <w:lvlText w:val="￮"/>
      <w:rPr>
        <w:color w:val="3370ff"/>
      </w:rPr>
    </w:lvl>
  </w:abstractNum>
  <w:abstractNum w:abstractNumId="1715835">
    <w:lvl>
      <w:numFmt w:val="bullet"/>
      <w:suff w:val="tab"/>
      <w:lvlText w:val="￮"/>
      <w:rPr>
        <w:color w:val="3370ff"/>
      </w:rPr>
    </w:lvl>
  </w:abstractNum>
  <w:abstractNum w:abstractNumId="1715836">
    <w:lvl>
      <w:start w:val="1"/>
      <w:numFmt w:val="decimal"/>
      <w:suff w:val="tab"/>
      <w:lvlText w:val="%1."/>
      <w:rPr>
        <w:color w:val="3370ff"/>
      </w:rPr>
    </w:lvl>
  </w:abstractNum>
  <w:abstractNum w:abstractNumId="1715837">
    <w:lvl>
      <w:start w:val="1"/>
      <w:numFmt w:val="decimal"/>
      <w:suff w:val="tab"/>
      <w:lvlText w:val="%1."/>
      <w:rPr>
        <w:color w:val="3370ff"/>
      </w:rPr>
    </w:lvl>
  </w:abstractNum>
  <w:abstractNum w:abstractNumId="1715838">
    <w:lvl>
      <w:numFmt w:val="bullet"/>
      <w:suff w:val="tab"/>
      <w:lvlText w:val="￮"/>
      <w:rPr>
        <w:color w:val="3370ff"/>
      </w:rPr>
    </w:lvl>
  </w:abstractNum>
  <w:abstractNum w:abstractNumId="1715839">
    <w:lvl>
      <w:numFmt w:val="bullet"/>
      <w:suff w:val="tab"/>
      <w:lvlText w:val="￮"/>
      <w:rPr>
        <w:color w:val="3370ff"/>
      </w:rPr>
    </w:lvl>
  </w:abstractNum>
  <w:abstractNum w:abstractNumId="1715840">
    <w:lvl>
      <w:numFmt w:val="bullet"/>
      <w:suff w:val="tab"/>
      <w:lvlText w:val="￮"/>
      <w:rPr>
        <w:color w:val="3370ff"/>
      </w:rPr>
    </w:lvl>
  </w:abstractNum>
  <w:abstractNum w:abstractNumId="1715841">
    <w:lvl>
      <w:start w:val="1"/>
      <w:numFmt w:val="decimal"/>
      <w:suff w:val="tab"/>
      <w:lvlText w:val="%1."/>
      <w:rPr>
        <w:color w:val="3370ff"/>
      </w:rPr>
    </w:lvl>
  </w:abstractNum>
  <w:abstractNum w:abstractNumId="1715842">
    <w:lvl>
      <w:start w:val="2"/>
      <w:numFmt w:val="decimal"/>
      <w:suff w:val="tab"/>
      <w:lvlText w:val="%1."/>
      <w:rPr>
        <w:color w:val="3370ff"/>
      </w:rPr>
    </w:lvl>
  </w:abstractNum>
  <w:abstractNum w:abstractNumId="1715843">
    <w:lvl>
      <w:start w:val="1"/>
      <w:numFmt w:val="decimal"/>
      <w:suff w:val="tab"/>
      <w:lvlText w:val="%1."/>
      <w:rPr>
        <w:color w:val="3370ff"/>
      </w:rPr>
    </w:lvl>
  </w:abstractNum>
  <w:abstractNum w:abstractNumId="1715844">
    <w:lvl>
      <w:start w:val="2"/>
      <w:numFmt w:val="decimal"/>
      <w:suff w:val="tab"/>
      <w:lvlText w:val="%1."/>
      <w:rPr>
        <w:color w:val="3370ff"/>
      </w:rPr>
    </w:lvl>
  </w:abstractNum>
  <w:abstractNum w:abstractNumId="1715845">
    <w:lvl>
      <w:start w:val="3"/>
      <w:numFmt w:val="decimal"/>
      <w:suff w:val="tab"/>
      <w:lvlText w:val="%1."/>
      <w:rPr>
        <w:color w:val="3370ff"/>
      </w:rPr>
    </w:lvl>
  </w:abstractNum>
  <w:abstractNum w:abstractNumId="1715846">
    <w:lvl>
      <w:start w:val="1"/>
      <w:numFmt w:val="decimal"/>
      <w:suff w:val="tab"/>
      <w:lvlText w:val="%1."/>
      <w:rPr>
        <w:color w:val="3370ff"/>
      </w:rPr>
    </w:lvl>
  </w:abstractNum>
  <w:abstractNum w:abstractNumId="1715847">
    <w:lvl>
      <w:start w:val="2"/>
      <w:numFmt w:val="decimal"/>
      <w:suff w:val="tab"/>
      <w:lvlText w:val="%1."/>
      <w:rPr>
        <w:color w:val="3370ff"/>
      </w:rPr>
    </w:lvl>
  </w:abstractNum>
  <w:abstractNum w:abstractNumId="1715848">
    <w:lvl>
      <w:start w:val="1"/>
      <w:numFmt w:val="decimal"/>
      <w:suff w:val="tab"/>
      <w:lvlText w:val="%1."/>
      <w:rPr>
        <w:color w:val="3370ff"/>
      </w:rPr>
    </w:lvl>
  </w:abstractNum>
  <w:abstractNum w:abstractNumId="1715849">
    <w:lvl>
      <w:start w:val="2"/>
      <w:numFmt w:val="decimal"/>
      <w:suff w:val="tab"/>
      <w:lvlText w:val="%1."/>
      <w:rPr>
        <w:color w:val="3370ff"/>
      </w:rPr>
    </w:lvl>
  </w:abstractNum>
  <w:abstractNum w:abstractNumId="1715850">
    <w:lvl>
      <w:start w:val="1"/>
      <w:numFmt w:val="decimal"/>
      <w:suff w:val="tab"/>
      <w:lvlText w:val="%1."/>
      <w:rPr>
        <w:color w:val="3370ff"/>
      </w:rPr>
    </w:lvl>
  </w:abstractNum>
  <w:abstractNum w:abstractNumId="1715851">
    <w:lvl>
      <w:start w:val="2"/>
      <w:numFmt w:val="decimal"/>
      <w:suff w:val="tab"/>
      <w:lvlText w:val="%1."/>
      <w:rPr>
        <w:color w:val="3370ff"/>
      </w:rPr>
    </w:lvl>
  </w:abstractNum>
  <w:abstractNum w:abstractNumId="171585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715809"/>
  </w:num>
  <w:num w:numId="2">
    <w:abstractNumId w:val="1715810"/>
  </w:num>
  <w:num w:numId="3">
    <w:abstractNumId w:val="1715811"/>
  </w:num>
  <w:num w:numId="4">
    <w:abstractNumId w:val="1715812"/>
  </w:num>
  <w:num w:numId="5">
    <w:abstractNumId w:val="1715813"/>
  </w:num>
  <w:num w:numId="6">
    <w:abstractNumId w:val="1715814"/>
  </w:num>
  <w:num w:numId="7">
    <w:abstractNumId w:val="1715815"/>
  </w:num>
  <w:num w:numId="8">
    <w:abstractNumId w:val="1715816"/>
  </w:num>
  <w:num w:numId="9">
    <w:abstractNumId w:val="1715817"/>
  </w:num>
  <w:num w:numId="10">
    <w:abstractNumId w:val="1715818"/>
  </w:num>
  <w:num w:numId="11">
    <w:abstractNumId w:val="1715819"/>
  </w:num>
  <w:num w:numId="12">
    <w:abstractNumId w:val="1715820"/>
  </w:num>
  <w:num w:numId="13">
    <w:abstractNumId w:val="1715821"/>
  </w:num>
  <w:num w:numId="14">
    <w:abstractNumId w:val="1715822"/>
  </w:num>
  <w:num w:numId="15">
    <w:abstractNumId w:val="1715823"/>
  </w:num>
  <w:num w:numId="16">
    <w:abstractNumId w:val="1715824"/>
  </w:num>
  <w:num w:numId="17">
    <w:abstractNumId w:val="1715825"/>
  </w:num>
  <w:num w:numId="18">
    <w:abstractNumId w:val="1715826"/>
  </w:num>
  <w:num w:numId="19">
    <w:abstractNumId w:val="1715827"/>
  </w:num>
  <w:num w:numId="20">
    <w:abstractNumId w:val="1715828"/>
  </w:num>
  <w:num w:numId="21">
    <w:abstractNumId w:val="1715829"/>
  </w:num>
  <w:num w:numId="22">
    <w:abstractNumId w:val="1715830"/>
  </w:num>
  <w:num w:numId="23">
    <w:abstractNumId w:val="1715831"/>
  </w:num>
  <w:num w:numId="24">
    <w:abstractNumId w:val="1715832"/>
  </w:num>
  <w:num w:numId="25">
    <w:abstractNumId w:val="1715833"/>
  </w:num>
  <w:num w:numId="26">
    <w:abstractNumId w:val="1715834"/>
  </w:num>
  <w:num w:numId="27">
    <w:abstractNumId w:val="1715835"/>
  </w:num>
  <w:num w:numId="28">
    <w:abstractNumId w:val="1715836"/>
  </w:num>
  <w:num w:numId="29">
    <w:abstractNumId w:val="1715837"/>
  </w:num>
  <w:num w:numId="30">
    <w:abstractNumId w:val="1715838"/>
  </w:num>
  <w:num w:numId="31">
    <w:abstractNumId w:val="1715839"/>
  </w:num>
  <w:num w:numId="32">
    <w:abstractNumId w:val="1715840"/>
  </w:num>
  <w:num w:numId="33">
    <w:abstractNumId w:val="1715841"/>
  </w:num>
  <w:num w:numId="34">
    <w:abstractNumId w:val="1715842"/>
  </w:num>
  <w:num w:numId="35">
    <w:abstractNumId w:val="1715843"/>
  </w:num>
  <w:num w:numId="36">
    <w:abstractNumId w:val="1715844"/>
  </w:num>
  <w:num w:numId="37">
    <w:abstractNumId w:val="1715845"/>
  </w:num>
  <w:num w:numId="38">
    <w:abstractNumId w:val="1715846"/>
  </w:num>
  <w:num w:numId="39">
    <w:abstractNumId w:val="1715847"/>
  </w:num>
  <w:num w:numId="40">
    <w:abstractNumId w:val="1715848"/>
  </w:num>
  <w:num w:numId="41">
    <w:abstractNumId w:val="1715849"/>
  </w:num>
  <w:num w:numId="42">
    <w:abstractNumId w:val="1715850"/>
  </w:num>
  <w:num w:numId="43">
    <w:abstractNumId w:val="1715851"/>
  </w:num>
  <w:num w:numId="44">
    <w:abstractNumId w:val="17158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embeddings/Microsoft_Excel_Worksheet9.xlsx" Type="http://schemas.openxmlformats.org/officeDocument/2006/relationships/package"/><Relationship Id="rId22" Target="media/image9.png" Type="http://schemas.openxmlformats.org/officeDocument/2006/relationships/image"/><Relationship Id="rId23" Target="media/image10.png" Type="http://schemas.openxmlformats.org/officeDocument/2006/relationships/image"/><Relationship Id="rId24" Target="media/image11.png" Type="http://schemas.openxmlformats.org/officeDocument/2006/relationships/image"/><Relationship Id="rId25" Target="media/image12.png" Type="http://schemas.openxmlformats.org/officeDocument/2006/relationships/image"/><Relationship Id="rId26" Target="media/image13.png" Type="http://schemas.openxmlformats.org/officeDocument/2006/relationships/image"/><Relationship Id="rId27" Target="media/image14.png" Type="http://schemas.openxmlformats.org/officeDocument/2006/relationships/image"/><Relationship Id="rId28" Target="media/image15.png" Type="http://schemas.openxmlformats.org/officeDocument/2006/relationships/image"/><Relationship Id="rId29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1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2025-12-30T09:29:24Z</dcterms:created>
  <dc:creator>Apache POI</dc:creator>
</cp:coreProperties>
</file>