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华为运动健康v2.0.1-心肌炎风险评估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方案一、基于测量记录提供服务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1、业务</w:t>
      </w:r>
      <w:r>
        <w:rPr>
          <w:rFonts w:eastAsia="等线" w:ascii="Arial" w:cs="Arial" w:hAnsi="Arial"/>
          <w:b w:val="true"/>
          <w:sz w:val="32"/>
        </w:rPr>
        <w:t>流程图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5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2、页面</w:t>
      </w:r>
      <w:r>
        <w:rPr>
          <w:rFonts w:eastAsia="等线" w:ascii="Arial" w:cs="Arial" w:hAnsi="Arial"/>
          <w:b w:val="true"/>
          <w:sz w:val="32"/>
        </w:rPr>
        <w:t>流程图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3、需求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3.1、心脏健康页</w:t>
      </w:r>
      <w:bookmarkEnd w:id="4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57500" cy="6229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3.2、心电采集页</w:t>
      </w:r>
      <w:bookmarkEnd w:id="5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57500" cy="6057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3.3、活动介绍页</w:t>
      </w:r>
      <w:bookmarkEnd w:id="6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57500" cy="96774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67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3.4、测量记录页</w:t>
      </w:r>
      <w:bookmarkEnd w:id="7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57500" cy="58483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3.5、调查</w:t>
      </w:r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页</w:t>
      </w:r>
      <w:bookmarkEnd w:id="8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3340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3.6、评估结果页</w:t>
      </w:r>
      <w:bookmarkEnd w:id="9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57500" cy="98298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3.7、心电详情页</w:t>
      </w:r>
      <w:bookmarkEnd w:id="10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6286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3.8、历史记录页</w:t>
      </w:r>
      <w:bookmarkEnd w:id="11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57500" cy="61912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方案二、基于解读记录提供服务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1、业务</w:t>
      </w:r>
      <w:r>
        <w:rPr>
          <w:rFonts w:eastAsia="等线" w:ascii="Arial" w:cs="Arial" w:hAnsi="Arial"/>
          <w:b w:val="true"/>
          <w:sz w:val="32"/>
        </w:rPr>
        <w:t>流程图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53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2、页面</w:t>
      </w:r>
      <w:r>
        <w:rPr>
          <w:rFonts w:eastAsia="等线" w:ascii="Arial" w:cs="Arial" w:hAnsi="Arial"/>
          <w:b w:val="true"/>
          <w:sz w:val="32"/>
        </w:rPr>
        <w:t>流程图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477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3、需求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3.1、心脏健康页、心电采集页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无修改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3.2、已解读报告页</w:t>
      </w:r>
      <w:bookmarkEnd w:id="17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57500" cy="72199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3.3、活动介绍页</w:t>
      </w:r>
      <w:bookmarkEnd w:id="18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57500" cy="96774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67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3.4、解读记录页</w:t>
      </w:r>
      <w:bookmarkEnd w:id="19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3340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3.5、调查</w:t>
      </w:r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页</w:t>
      </w:r>
      <w:bookmarkEnd w:id="20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3340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3.6、评估结果页</w:t>
      </w:r>
      <w:bookmarkEnd w:id="21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57500" cy="98298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2025-12-30T11:39:40Z</dcterms:created>
  <dc:creator>Apache POI</dc:creator>
</cp:coreProperties>
</file>