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基于 ECG 风险人群的数字化生活方式干预系统 (v1.0 MVP) PRD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项目背景与商业价值 (Business Context)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核心痛点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用户侧</w:t>
      </w:r>
      <w:r>
        <w:rPr>
          <w:rFonts w:eastAsia="等线" w:ascii="Arial" w:cs="Arial" w:hAnsi="Arial"/>
          <w:sz w:val="22"/>
        </w:rPr>
        <w:t>：用户收到 ECG（心电图）中高风险提示后，处于“焦虑但无处投医”的真空地带。医院不收治非急症，用户急需有人告诉他“日常该怎么吃、怎么睡、怎么控制风险”。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商业侧</w:t>
      </w:r>
      <w:r>
        <w:rPr>
          <w:rFonts w:eastAsia="等线" w:ascii="Arial" w:cs="Arial" w:hAnsi="Arial"/>
          <w:sz w:val="22"/>
        </w:rPr>
        <w:t>：单纯的 ECG 判读服务（¥99）客单价低，且是一次性交易。急需通过后端服务（Service）提升 LTV（生命周期总价值），建立订阅制收入。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产品定位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非医疗级的心脏健康生活方式管理服务。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❌ </w:t>
      </w:r>
      <w:r>
        <w:rPr>
          <w:rFonts w:eastAsia="等线" w:ascii="Arial" w:cs="Arial" w:hAnsi="Arial"/>
          <w:b w:val="true"/>
          <w:sz w:val="22"/>
        </w:rPr>
        <w:t>不是</w:t>
      </w:r>
      <w:r>
        <w:rPr>
          <w:rFonts w:eastAsia="等线" w:ascii="Arial" w:cs="Arial" w:hAnsi="Arial"/>
          <w:sz w:val="22"/>
        </w:rPr>
        <w:t>：在线问诊、开药、治病。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是</w:t>
      </w:r>
      <w:r>
        <w:rPr>
          <w:rFonts w:eastAsia="等线" w:ascii="Arial" w:cs="Arial" w:hAnsi="Arial"/>
          <w:sz w:val="22"/>
        </w:rPr>
        <w:t>：风险人群的饮食/作息/压力管理陪跑。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核心指标 (OKR)</w:t>
      </w:r>
      <w:bookmarkEnd w:id="3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转化率</w:t>
      </w:r>
      <w:r>
        <w:rPr>
          <w:rFonts w:eastAsia="等线" w:ascii="Arial" w:cs="Arial" w:hAnsi="Arial"/>
          <w:sz w:val="22"/>
        </w:rPr>
        <w:t>：ECG 报告页 → 服务购买率 ≥ 5%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人效比</w:t>
      </w:r>
      <w:r>
        <w:rPr>
          <w:rFonts w:eastAsia="等线" w:ascii="Arial" w:cs="Arial" w:hAnsi="Arial"/>
          <w:sz w:val="22"/>
        </w:rPr>
        <w:t>：单名营养师同时服务用户数 ≥ 150 人（依靠自动化系统）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满意度</w:t>
      </w:r>
      <w:r>
        <w:rPr>
          <w:rFonts w:eastAsia="等线" w:ascii="Arial" w:cs="Arial" w:hAnsi="Arial"/>
          <w:sz w:val="22"/>
        </w:rPr>
        <w:t>：NPS（净推荐值）≥ 30，退款率 ≤ 1%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用户角色与流程图 (User Roles &amp; Flow)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角色定义</w:t>
      </w:r>
      <w:bookmarkEnd w:id="5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 (Client)</w:t>
      </w:r>
      <w:r>
        <w:rPr>
          <w:rFonts w:eastAsia="等线" w:ascii="Arial" w:cs="Arial" w:hAnsi="Arial"/>
          <w:sz w:val="22"/>
        </w:rPr>
        <w:t>：持有中/高风险 ECG 报告，购买了 28 天服务。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执行营养师 (Coach)</w:t>
      </w:r>
      <w:r>
        <w:rPr>
          <w:rFonts w:eastAsia="等线" w:ascii="Arial" w:cs="Arial" w:hAnsi="Arial"/>
          <w:sz w:val="22"/>
        </w:rPr>
        <w:t>：负责 1:1 沟通、监督打卡、微调方案。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策略引擎 (System)</w:t>
      </w:r>
      <w:r>
        <w:rPr>
          <w:rFonts w:eastAsia="等线" w:ascii="Arial" w:cs="Arial" w:hAnsi="Arial"/>
          <w:sz w:val="22"/>
        </w:rPr>
        <w:t>：负责自动打标、生成初始方案、推送每日内容。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核心业务流程 (Core Loop)</w:t>
      </w:r>
      <w:bookmarkEnd w:id="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... -&gt;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每日自动化内容推送 (Push)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-&gt;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用户执行与轻打卡 (Action)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-&gt;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营养师异步点评/答疑 (Feedback)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-&gt;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周维度复盘 (Weekly Review)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-&gt;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服务结束与SOP转化 (Offboarding &amp; Upsell)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前端功能需求 (User Side / Mini-program)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3.1 P0: 智能入组问卷 (Smart Onboarding)</w:t>
      </w:r>
      <w:bookmarkEnd w:id="8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交互逻辑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单页单题，沉浸式体验，避免长表单劝退。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动态分支</w:t>
      </w:r>
      <w:r>
        <w:rPr>
          <w:rFonts w:eastAsia="等线" w:ascii="Arial" w:cs="Arial" w:hAnsi="Arial"/>
          <w:sz w:val="22"/>
        </w:rPr>
        <w:t>：选“不喝咖啡”则跳过咖啡因相关追问。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核心产出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问卷提交后，前端需有 3-5 秒的“Loading 动画”，文案显示“正在分析您的生活方式数据...”“正在生成个性化方案...”，增加</w:t>
      </w:r>
      <w:r>
        <w:rPr>
          <w:rFonts w:eastAsia="等线" w:ascii="Arial" w:cs="Arial" w:hAnsi="Arial"/>
          <w:b w:val="true"/>
          <w:sz w:val="22"/>
        </w:rPr>
        <w:t>价值感知</w:t>
      </w:r>
      <w:r>
        <w:rPr>
          <w:rFonts w:eastAsia="等线" w:ascii="Arial" w:cs="Arial" w:hAnsi="Arial"/>
          <w:sz w:val="22"/>
        </w:rPr>
        <w:t>（其实后台毫秒级就处理完了）。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3.2 P0: 每日干预主页 (Daily Dashboard)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这是用户每天打开的页面，必须极简。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顶部卡片：今日核心任务 (Today's Focus)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显示：1 个核心行为建议（如“下午2点后不摄入咖啡因”）。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操作：【我做到了】打卡按钮。打卡后弹出正向反馈动画。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中部区域：知识胶囊 (Micro-Learning)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展示：根据标签生成的自动化内容（图文/短音频）。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规则：每天仅解锁 1 篇，不可贪多，降低认知负担。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底部区域：营养师直通车 (Coach Chat)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入口文案：“有疑问？留言给营养师”。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关键设计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不要做成实时聊天界面！</w:t>
      </w:r>
      <w:r>
        <w:rPr>
          <w:rFonts w:eastAsia="等线" w:ascii="Arial" w:cs="Arial" w:hAnsi="Arial"/>
          <w:sz w:val="22"/>
        </w:rPr>
        <w:t xml:space="preserve"> 要做成“工单/留言板”样式。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Risk Control</w:t>
      </w:r>
      <w:r>
        <w:rPr>
          <w:rFonts w:eastAsia="等线" w:ascii="Arial" w:cs="Arial" w:hAnsi="Arial"/>
          <w:sz w:val="22"/>
        </w:rPr>
        <w:t>：输入框上方必须悬浮弱提示：“非急救服务，紧急情况请立即就医”。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3.3 P1: 周报与趋势 (Progress Report)</w:t>
      </w:r>
      <w:bookmarkEnd w:id="10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周一自动解锁</w:t>
      </w:r>
      <w:r>
        <w:rPr>
          <w:rFonts w:eastAsia="等线" w:ascii="Arial" w:cs="Arial" w:hAnsi="Arial"/>
          <w:sz w:val="22"/>
        </w:rPr>
        <w:t>：展示上周打卡率、生活方式调整评分（基于打卡计算）。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主观感受记录</w:t>
      </w:r>
      <w:r>
        <w:rPr>
          <w:rFonts w:eastAsia="等线" w:ascii="Arial" w:cs="Arial" w:hAnsi="Arial"/>
          <w:sz w:val="22"/>
        </w:rPr>
        <w:t>：每周让用户选一次“精力状态”和“睡眠质量”（用于生成对比数据）。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后台逻辑与算法引擎 (Backend &amp; Algorithm)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这是本产品“能收钱且能扩张”的核心壁垒。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4.1 标签自动化映射系统 (Tagging System)</w:t>
      </w:r>
      <w:bookmarkEnd w:id="12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：问卷选项 ID。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处理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IF 咖啡 &gt;= 2杯 THEN Tag = CAF_HIGH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IF BMI &gt; 28 THEN Tag = BMI_OBESITY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优先级排序算法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系统需内置权重逻辑。例如：</w:t>
      </w:r>
      <w:r>
        <w:rPr>
          <w:rFonts w:eastAsia="Consolas" w:ascii="Consolas" w:cs="Consolas" w:hAnsi="Consolas"/>
          <w:sz w:val="22"/>
          <w:shd w:fill="EFF0F1"/>
        </w:rPr>
        <w:t>ECG风险等级</w:t>
      </w:r>
      <w:r>
        <w:rPr>
          <w:rFonts w:eastAsia="等线" w:ascii="Arial" w:cs="Arial" w:hAnsi="Arial"/>
          <w:sz w:val="22"/>
        </w:rPr>
        <w:t xml:space="preserve"> &gt; </w:t>
      </w:r>
      <w:r>
        <w:rPr>
          <w:rFonts w:eastAsia="Consolas" w:ascii="Consolas" w:cs="Consolas" w:hAnsi="Consolas"/>
          <w:sz w:val="22"/>
          <w:shd w:fill="EFF0F1"/>
        </w:rPr>
        <w:t>睡眠问题</w:t>
      </w:r>
      <w:r>
        <w:rPr>
          <w:rFonts w:eastAsia="等线" w:ascii="Arial" w:cs="Arial" w:hAnsi="Arial"/>
          <w:sz w:val="22"/>
        </w:rPr>
        <w:t xml:space="preserve"> &gt; </w:t>
      </w:r>
      <w:r>
        <w:rPr>
          <w:rFonts w:eastAsia="Consolas" w:ascii="Consolas" w:cs="Consolas" w:hAnsi="Consolas"/>
          <w:sz w:val="22"/>
          <w:shd w:fill="EFF0F1"/>
        </w:rPr>
        <w:t>饮食问题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目的</w:t>
      </w:r>
      <w:r>
        <w:rPr>
          <w:rFonts w:eastAsia="等线" w:ascii="Arial" w:cs="Arial" w:hAnsi="Arial"/>
          <w:sz w:val="22"/>
        </w:rPr>
        <w:t>：确保用户不会被建议淹没，优先解决最危险/最痛点的问题。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4.2 内容分发 CMS (Content Engine)</w:t>
      </w:r>
      <w:bookmarkEnd w:id="13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内容库结构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SKU_Base</w:t>
      </w:r>
      <w:r>
        <w:rPr>
          <w:rFonts w:eastAsia="等线" w:ascii="Arial" w:cs="Arial" w:hAnsi="Arial"/>
          <w:sz w:val="22"/>
        </w:rPr>
        <w:t>：通用内容（喝水、心态）。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SKU_Caf_Reduction</w:t>
      </w:r>
      <w:r>
        <w:rPr>
          <w:rFonts w:eastAsia="等线" w:ascii="Arial" w:cs="Arial" w:hAnsi="Arial"/>
          <w:sz w:val="22"/>
        </w:rPr>
        <w:t>：咖啡减量 7 天包。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SKU_Sleep_Fix</w:t>
      </w:r>
      <w:r>
        <w:rPr>
          <w:rFonts w:eastAsia="等线" w:ascii="Arial" w:cs="Arial" w:hAnsi="Arial"/>
          <w:sz w:val="22"/>
        </w:rPr>
        <w:t>：睡眠修复 7 天包。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组装逻辑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User A (咖啡重度+熬夜) = </w:t>
      </w:r>
      <w:r>
        <w:rPr>
          <w:rFonts w:eastAsia="Consolas" w:ascii="Consolas" w:cs="Consolas" w:hAnsi="Consolas"/>
          <w:sz w:val="22"/>
          <w:shd w:fill="EFF0F1"/>
        </w:rPr>
        <w:t>SKU_Caf_Reduction (Week 1)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SKU_Sleep_Fix (Week 2)</w:t>
      </w:r>
      <w:r>
        <w:rPr>
          <w:rFonts w:eastAsia="等线" w:ascii="Arial" w:cs="Arial" w:hAnsi="Arial"/>
          <w:sz w:val="22"/>
        </w:rPr>
        <w:t>...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运营价值</w:t>
      </w:r>
      <w:r>
        <w:rPr>
          <w:rFonts w:eastAsia="等线" w:ascii="Arial" w:cs="Arial" w:hAnsi="Arial"/>
          <w:sz w:val="22"/>
        </w:rPr>
        <w:t>：营养师不需要手写内容，系统自动排好 28 天日程，营养师只需点击“确认”或微调。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营养师工作台 (SaaS Dashboard for Coaches)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目标：让一个营养师能轻松服务 150+ 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5.1 任务收件箱 (Priority Inbox)</w:t>
      </w:r>
      <w:bookmarkEnd w:id="15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</w:t>
      </w:r>
      <w:r>
        <w:rPr>
          <w:rFonts w:eastAsia="等线" w:ascii="Arial" w:cs="Arial" w:hAnsi="Arial"/>
          <w:sz w:val="22"/>
        </w:rPr>
        <w:t>：不是按时间排序，而是按</w:t>
      </w:r>
      <w:r>
        <w:rPr>
          <w:rFonts w:eastAsia="等线" w:ascii="Arial" w:cs="Arial" w:hAnsi="Arial"/>
          <w:b w:val="true"/>
          <w:sz w:val="22"/>
        </w:rPr>
        <w:t>紧急度</w:t>
      </w:r>
      <w:r>
        <w:rPr>
          <w:rFonts w:eastAsia="等线" w:ascii="Arial" w:cs="Arial" w:hAnsi="Arial"/>
          <w:sz w:val="22"/>
        </w:rPr>
        <w:t>排序。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🚨 </w:t>
      </w:r>
      <w:r>
        <w:rPr>
          <w:rFonts w:eastAsia="等线" w:ascii="Arial" w:cs="Arial" w:hAnsi="Arial"/>
          <w:b w:val="true"/>
          <w:sz w:val="22"/>
        </w:rPr>
        <w:t>红色任务</w:t>
      </w:r>
      <w:r>
        <w:rPr>
          <w:rFonts w:eastAsia="等线" w:ascii="Arial" w:cs="Arial" w:hAnsi="Arial"/>
          <w:sz w:val="22"/>
        </w:rPr>
        <w:t>：用户触发关键词（胸闷、疼、晕），或连续 3 天未打卡。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🟡 </w:t>
      </w:r>
      <w:r>
        <w:rPr>
          <w:rFonts w:eastAsia="等线" w:ascii="Arial" w:cs="Arial" w:hAnsi="Arial"/>
          <w:b w:val="true"/>
          <w:sz w:val="22"/>
        </w:rPr>
        <w:t>黄色任务</w:t>
      </w:r>
      <w:r>
        <w:rPr>
          <w:rFonts w:eastAsia="等线" w:ascii="Arial" w:cs="Arial" w:hAnsi="Arial"/>
          <w:sz w:val="22"/>
        </w:rPr>
        <w:t>：用户有新的留言提问。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🟢 </w:t>
      </w:r>
      <w:r>
        <w:rPr>
          <w:rFonts w:eastAsia="等线" w:ascii="Arial" w:cs="Arial" w:hAnsi="Arial"/>
          <w:b w:val="true"/>
          <w:sz w:val="22"/>
        </w:rPr>
        <w:t>绿色任务</w:t>
      </w:r>
      <w:r>
        <w:rPr>
          <w:rFonts w:eastAsia="等线" w:ascii="Arial" w:cs="Arial" w:hAnsi="Arial"/>
          <w:sz w:val="22"/>
        </w:rPr>
        <w:t>：系统生成的周报，需人工确认发送。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SLA 倒计时</w:t>
      </w:r>
      <w:r>
        <w:rPr>
          <w:rFonts w:eastAsia="等线" w:ascii="Arial" w:cs="Arial" w:hAnsi="Arial"/>
          <w:sz w:val="22"/>
        </w:rPr>
        <w:t>：每个留言旁显示“剩余回复时间 3h”，强控服务标准。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5.2 快捷回复与知识库 (Smart Reply)</w:t>
      </w:r>
      <w:bookmarkEnd w:id="16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当营养师点击回复框，右侧自动匹配与用户标签相关的 SOP 话术。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：用户问“我不爱喝白水怎么办？” -&gt; 点击【饮水替代方案】 -&gt; 自动填入建议（柠檬水、淡茶等）。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风控与合规体系 (Compliance &amp; Risk)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生死红线，必须写进代码里。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6.1 关键词屏蔽与预警 (Keyword Filtering)</w:t>
      </w:r>
      <w:bookmarkEnd w:id="18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黑名单</w:t>
      </w:r>
      <w:r>
        <w:rPr>
          <w:rFonts w:eastAsia="等线" w:ascii="Arial" w:cs="Arial" w:hAnsi="Arial"/>
          <w:sz w:val="22"/>
        </w:rPr>
        <w:t>：治疗、治愈、药方、确诊、保证有效。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动作</w:t>
      </w:r>
      <w:r>
        <w:rPr>
          <w:rFonts w:eastAsia="等线" w:ascii="Arial" w:cs="Arial" w:hAnsi="Arial"/>
          <w:sz w:val="22"/>
        </w:rPr>
        <w:t>：营养师发送时系统拦截并报错。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红名单</w:t>
      </w:r>
      <w:r>
        <w:rPr>
          <w:rFonts w:eastAsia="等线" w:ascii="Arial" w:cs="Arial" w:hAnsi="Arial"/>
          <w:sz w:val="22"/>
        </w:rPr>
        <w:t>：胸痛、放射痛、晕厥、呼吸困难。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动作</w:t>
      </w:r>
      <w:r>
        <w:rPr>
          <w:rFonts w:eastAsia="等线" w:ascii="Arial" w:cs="Arial" w:hAnsi="Arial"/>
          <w:sz w:val="22"/>
        </w:rPr>
        <w:t>：用户端弹出“建议立即就医”弹窗；后台立刻置顶该用户并短信通知管理员。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6.2 免责协议 (Disclaimer)</w:t>
      </w:r>
      <w:bookmarkEnd w:id="19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强制签署</w:t>
      </w:r>
      <w:r>
        <w:rPr>
          <w:rFonts w:eastAsia="等线" w:ascii="Arial" w:cs="Arial" w:hAnsi="Arial"/>
          <w:sz w:val="22"/>
        </w:rPr>
        <w:t>：支付后、服务开始前，必须勾选《非医疗服务知情同意书》。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核心条款</w:t>
      </w:r>
      <w:r>
        <w:rPr>
          <w:rFonts w:eastAsia="等线" w:ascii="Arial" w:cs="Arial" w:hAnsi="Arial"/>
          <w:sz w:val="22"/>
        </w:rPr>
        <w:t>：“本服务仅提供生活方式建议，不能替代医生诊断与治疗，不承担医疗后果。”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运营数据埋点 (Data &amp; Analytics)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7.1 商业转化指标</w:t>
      </w:r>
      <w:bookmarkEnd w:id="21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ECG 查看页点击率 (CTR)</w:t>
      </w:r>
      <w:r>
        <w:rPr>
          <w:rFonts w:eastAsia="等线" w:ascii="Arial" w:cs="Arial" w:hAnsi="Arial"/>
          <w:sz w:val="22"/>
        </w:rPr>
        <w:t>：衡量入口吸引力。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问卷完读率</w:t>
      </w:r>
      <w:r>
        <w:rPr>
          <w:rFonts w:eastAsia="等线" w:ascii="Arial" w:cs="Arial" w:hAnsi="Arial"/>
          <w:sz w:val="22"/>
        </w:rPr>
        <w:t>：衡量问卷是否太长。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支付转化率</w:t>
      </w:r>
      <w:r>
        <w:rPr>
          <w:rFonts w:eastAsia="等线" w:ascii="Arial" w:cs="Arial" w:hAnsi="Arial"/>
          <w:sz w:val="22"/>
        </w:rPr>
        <w:t>：问卷完成 -&gt; 支付的比例。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7.2 服务交付指标</w:t>
      </w:r>
      <w:bookmarkEnd w:id="22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打卡活跃度 (DAU/MAU)</w:t>
      </w:r>
      <w:r>
        <w:rPr>
          <w:rFonts w:eastAsia="等线" w:ascii="Arial" w:cs="Arial" w:hAnsi="Arial"/>
          <w:sz w:val="22"/>
        </w:rPr>
        <w:t>：用户是否真的在用。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NPS (净推荐值)</w:t>
      </w:r>
      <w:r>
        <w:rPr>
          <w:rFonts w:eastAsia="等线" w:ascii="Arial" w:cs="Arial" w:hAnsi="Arial"/>
          <w:sz w:val="22"/>
        </w:rPr>
        <w:t>：第 21 天自动弹出评分。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复购/升级率</w:t>
      </w:r>
      <w:r>
        <w:rPr>
          <w:rFonts w:eastAsia="等线" w:ascii="Arial" w:cs="Arial" w:hAnsi="Arial"/>
          <w:sz w:val="22"/>
        </w:rPr>
        <w:t>：28 天结束后，购买“季度会员”或“复测包”的比例。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</w:rPr>
        <w:t>开发分期计划 (Roadmap)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Phase 1: MVP (最小可行性产品) - 预计工期 3 周</w:t>
      </w:r>
      <w:bookmarkEnd w:id="24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用户端</w:t>
      </w:r>
      <w:r>
        <w:rPr>
          <w:rFonts w:eastAsia="等线" w:ascii="Arial" w:cs="Arial" w:hAnsi="Arial"/>
          <w:sz w:val="22"/>
        </w:rPr>
        <w:t>：H5/小程序，跑通问卷、支付、每日静态内容页。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后台</w:t>
      </w:r>
      <w:r>
        <w:rPr>
          <w:rFonts w:eastAsia="等线" w:ascii="Arial" w:cs="Arial" w:hAnsi="Arial"/>
          <w:sz w:val="22"/>
        </w:rPr>
        <w:t>：最基础的 CMS，标签逻辑硬编码。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</w:t>
      </w:r>
      <w:r>
        <w:rPr>
          <w:rFonts w:eastAsia="等线" w:ascii="Arial" w:cs="Arial" w:hAnsi="Arial"/>
          <w:sz w:val="22"/>
        </w:rPr>
        <w:t>：IM 暂时用企微/个微手动承接，验证话术。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Phase 2: 自动化与工作台 - 预计工期 4-6 周</w:t>
      </w:r>
      <w:bookmarkEnd w:id="25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上线营养师 SaaS 工作台（脱离微信聊天）。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上线自动化标签系统与内容组装引擎。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Phase 3: 数据驱动 - 长期</w:t>
      </w:r>
      <w:bookmarkEnd w:id="26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引入 AI 辅助回答。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接入 ECG 连续数据对比（如有硬件支持）。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color w:val="3370ff"/>
          <w:sz w:val="32"/>
        </w:rPr>
        <w:t xml:space="preserve">9. </w:t>
      </w:r>
      <w:r>
        <w:rPr>
          <w:rFonts w:eastAsia="等线" w:ascii="Arial" w:cs="Arial" w:hAnsi="Arial"/>
          <w:b w:val="true"/>
          <w:sz w:val="32"/>
        </w:rPr>
        <w:t>给老板/投资人的 Summary (Executive Summary)</w:t>
      </w:r>
      <w:bookmarkEnd w:id="27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产品本质</w:t>
      </w:r>
      <w:r>
        <w:rPr>
          <w:rFonts w:eastAsia="等线" w:ascii="Arial" w:cs="Arial" w:hAnsi="Arial"/>
          <w:sz w:val="22"/>
        </w:rPr>
        <w:t>：这是一个</w:t>
      </w:r>
      <w:r>
        <w:rPr>
          <w:rFonts w:eastAsia="等线" w:ascii="Arial" w:cs="Arial" w:hAnsi="Arial"/>
          <w:b w:val="true"/>
          <w:sz w:val="22"/>
        </w:rPr>
        <w:t>披着“咨询服务”外皮的“数字化内容分发”产品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成本结构</w:t>
      </w:r>
      <w:r>
        <w:rPr>
          <w:rFonts w:eastAsia="等线" w:ascii="Arial" w:cs="Arial" w:hAnsi="Arial"/>
          <w:sz w:val="22"/>
        </w:rPr>
        <w:t>：前期重研发（SOP与系统），后期边际成本极低。营养师不再是“陪聊”，而是“系统操作员”。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风险控制</w:t>
      </w:r>
      <w:r>
        <w:rPr>
          <w:rFonts w:eastAsia="等线" w:ascii="Arial" w:cs="Arial" w:hAnsi="Arial"/>
          <w:sz w:val="22"/>
        </w:rPr>
        <w:t>：通过严格的 SOP 和系统拦截，将医疗风险降至 0，完全处于“生活方式干预”的安全区。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扩张性</w:t>
      </w:r>
      <w:r>
        <w:rPr>
          <w:rFonts w:eastAsia="等线" w:ascii="Arial" w:cs="Arial" w:hAnsi="Arial"/>
          <w:sz w:val="22"/>
        </w:rPr>
        <w:t>：一旦 28 天模型跑通，可以横向复制到“高血压饮食管理”、“糖尿病前期干预”等板块，复用同一套代码和逻辑。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457393">
    <w:lvl>
      <w:numFmt w:val="bullet"/>
      <w:suff w:val="tab"/>
      <w:lvlText w:val="•"/>
      <w:rPr>
        <w:color w:val="3370ff"/>
      </w:rPr>
    </w:lvl>
  </w:abstractNum>
  <w:abstractNum w:abstractNumId="457394">
    <w:lvl>
      <w:numFmt w:val="bullet"/>
      <w:suff w:val="tab"/>
      <w:lvlText w:val="•"/>
      <w:rPr>
        <w:color w:val="3370ff"/>
      </w:rPr>
    </w:lvl>
  </w:abstractNum>
  <w:abstractNum w:abstractNumId="457395">
    <w:lvl>
      <w:numFmt w:val="bullet"/>
      <w:suff w:val="tab"/>
      <w:lvlText w:val="•"/>
      <w:rPr>
        <w:color w:val="3370ff"/>
      </w:rPr>
    </w:lvl>
  </w:abstractNum>
  <w:abstractNum w:abstractNumId="457396">
    <w:lvl>
      <w:numFmt w:val="bullet"/>
      <w:suff w:val="tab"/>
      <w:lvlText w:val="•"/>
      <w:rPr>
        <w:color w:val="3370ff"/>
      </w:rPr>
    </w:lvl>
  </w:abstractNum>
  <w:abstractNum w:abstractNumId="457397">
    <w:lvl>
      <w:numFmt w:val="bullet"/>
      <w:suff w:val="tab"/>
      <w:lvlText w:val="•"/>
      <w:rPr>
        <w:color w:val="3370ff"/>
      </w:rPr>
    </w:lvl>
  </w:abstractNum>
  <w:abstractNum w:abstractNumId="457398">
    <w:lvl>
      <w:numFmt w:val="bullet"/>
      <w:suff w:val="tab"/>
      <w:lvlText w:val="•"/>
      <w:rPr>
        <w:color w:val="3370ff"/>
      </w:rPr>
    </w:lvl>
  </w:abstractNum>
  <w:abstractNum w:abstractNumId="457399">
    <w:lvl>
      <w:numFmt w:val="bullet"/>
      <w:suff w:val="tab"/>
      <w:lvlText w:val="•"/>
      <w:rPr>
        <w:color w:val="3370ff"/>
      </w:rPr>
    </w:lvl>
  </w:abstractNum>
  <w:abstractNum w:abstractNumId="457400">
    <w:lvl>
      <w:start w:val="1"/>
      <w:numFmt w:val="decimal"/>
      <w:suff w:val="tab"/>
      <w:lvlText w:val="%1."/>
      <w:rPr>
        <w:color w:val="3370ff"/>
      </w:rPr>
    </w:lvl>
  </w:abstractNum>
  <w:abstractNum w:abstractNumId="457401">
    <w:lvl>
      <w:start w:val="2"/>
      <w:numFmt w:val="decimal"/>
      <w:suff w:val="tab"/>
      <w:lvlText w:val="%1."/>
      <w:rPr>
        <w:color w:val="3370ff"/>
      </w:rPr>
    </w:lvl>
  </w:abstractNum>
  <w:abstractNum w:abstractNumId="457402">
    <w:lvl>
      <w:start w:val="3"/>
      <w:numFmt w:val="decimal"/>
      <w:suff w:val="tab"/>
      <w:lvlText w:val="%1."/>
      <w:rPr>
        <w:color w:val="3370ff"/>
      </w:rPr>
    </w:lvl>
  </w:abstractNum>
  <w:abstractNum w:abstractNumId="457403">
    <w:lvl>
      <w:numFmt w:val="bullet"/>
      <w:suff w:val="tab"/>
      <w:lvlText w:val="•"/>
      <w:rPr>
        <w:color w:val="3370ff"/>
      </w:rPr>
    </w:lvl>
  </w:abstractNum>
  <w:abstractNum w:abstractNumId="457404">
    <w:lvl>
      <w:numFmt w:val="bullet"/>
      <w:suff w:val="tab"/>
      <w:lvlText w:val="￮"/>
      <w:rPr>
        <w:color w:val="3370ff"/>
      </w:rPr>
    </w:lvl>
  </w:abstractNum>
  <w:abstractNum w:abstractNumId="457405">
    <w:lvl>
      <w:numFmt w:val="bullet"/>
      <w:suff w:val="tab"/>
      <w:lvlText w:val="￮"/>
      <w:rPr>
        <w:color w:val="3370ff"/>
      </w:rPr>
    </w:lvl>
  </w:abstractNum>
  <w:abstractNum w:abstractNumId="457406">
    <w:lvl>
      <w:numFmt w:val="bullet"/>
      <w:suff w:val="tab"/>
      <w:lvlText w:val="•"/>
      <w:rPr>
        <w:color w:val="3370ff"/>
      </w:rPr>
    </w:lvl>
  </w:abstractNum>
  <w:abstractNum w:abstractNumId="457407">
    <w:lvl>
      <w:numFmt w:val="bullet"/>
      <w:suff w:val="tab"/>
      <w:lvlText w:val="￮"/>
      <w:rPr>
        <w:color w:val="3370ff"/>
      </w:rPr>
    </w:lvl>
  </w:abstractNum>
  <w:abstractNum w:abstractNumId="457408">
    <w:lvl>
      <w:numFmt w:val="bullet"/>
      <w:suff w:val="tab"/>
      <w:lvlText w:val="•"/>
      <w:rPr>
        <w:color w:val="3370ff"/>
      </w:rPr>
    </w:lvl>
  </w:abstractNum>
  <w:abstractNum w:abstractNumId="457409">
    <w:lvl>
      <w:numFmt w:val="bullet"/>
      <w:suff w:val="tab"/>
      <w:lvlText w:val="￮"/>
      <w:rPr>
        <w:color w:val="3370ff"/>
      </w:rPr>
    </w:lvl>
  </w:abstractNum>
  <w:abstractNum w:abstractNumId="457410">
    <w:lvl>
      <w:numFmt w:val="bullet"/>
      <w:suff w:val="tab"/>
      <w:lvlText w:val="￮"/>
      <w:rPr>
        <w:color w:val="3370ff"/>
      </w:rPr>
    </w:lvl>
  </w:abstractNum>
  <w:abstractNum w:abstractNumId="457411">
    <w:lvl>
      <w:numFmt w:val="bullet"/>
      <w:suff w:val="tab"/>
      <w:lvlText w:val="•"/>
      <w:rPr>
        <w:color w:val="3370ff"/>
      </w:rPr>
    </w:lvl>
  </w:abstractNum>
  <w:abstractNum w:abstractNumId="457412">
    <w:lvl>
      <w:numFmt w:val="bullet"/>
      <w:suff w:val="tab"/>
      <w:lvlText w:val="￮"/>
      <w:rPr>
        <w:color w:val="3370ff"/>
      </w:rPr>
    </w:lvl>
  </w:abstractNum>
  <w:abstractNum w:abstractNumId="457413">
    <w:lvl>
      <w:numFmt w:val="bullet"/>
      <w:suff w:val="tab"/>
      <w:lvlText w:val="￮"/>
      <w:rPr>
        <w:color w:val="3370ff"/>
      </w:rPr>
    </w:lvl>
  </w:abstractNum>
  <w:abstractNum w:abstractNumId="457414">
    <w:lvl>
      <w:numFmt w:val="bullet"/>
      <w:suff w:val="tab"/>
      <w:lvlText w:val="•"/>
      <w:rPr>
        <w:color w:val="3370ff"/>
      </w:rPr>
    </w:lvl>
  </w:abstractNum>
  <w:abstractNum w:abstractNumId="457415">
    <w:lvl>
      <w:numFmt w:val="bullet"/>
      <w:suff w:val="tab"/>
      <w:lvlText w:val="￮"/>
      <w:rPr>
        <w:color w:val="3370ff"/>
      </w:rPr>
    </w:lvl>
  </w:abstractNum>
  <w:abstractNum w:abstractNumId="457416">
    <w:lvl>
      <w:numFmt w:val="bullet"/>
      <w:suff w:val="tab"/>
      <w:lvlText w:val="￮"/>
      <w:rPr>
        <w:color w:val="3370ff"/>
      </w:rPr>
    </w:lvl>
  </w:abstractNum>
  <w:abstractNum w:abstractNumId="457417">
    <w:lvl>
      <w:numFmt w:val="bullet"/>
      <w:suff w:val="tab"/>
      <w:lvlText w:val="￮"/>
      <w:rPr>
        <w:color w:val="3370ff"/>
      </w:rPr>
    </w:lvl>
  </w:abstractNum>
  <w:abstractNum w:abstractNumId="457418">
    <w:lvl>
      <w:numFmt w:val="bullet"/>
      <w:suff w:val="tab"/>
      <w:lvlText w:val="•"/>
      <w:rPr>
        <w:color w:val="3370ff"/>
      </w:rPr>
    </w:lvl>
  </w:abstractNum>
  <w:abstractNum w:abstractNumId="457419">
    <w:lvl>
      <w:numFmt w:val="bullet"/>
      <w:suff w:val="tab"/>
      <w:lvlText w:val="•"/>
      <w:rPr>
        <w:color w:val="3370ff"/>
      </w:rPr>
    </w:lvl>
  </w:abstractNum>
  <w:abstractNum w:abstractNumId="457420">
    <w:lvl>
      <w:numFmt w:val="bullet"/>
      <w:suff w:val="tab"/>
      <w:lvlText w:val="•"/>
      <w:rPr>
        <w:color w:val="3370ff"/>
      </w:rPr>
    </w:lvl>
  </w:abstractNum>
  <w:abstractNum w:abstractNumId="457421">
    <w:lvl>
      <w:numFmt w:val="bullet"/>
      <w:suff w:val="tab"/>
      <w:lvlText w:val="•"/>
      <w:rPr>
        <w:color w:val="3370ff"/>
      </w:rPr>
    </w:lvl>
  </w:abstractNum>
  <w:abstractNum w:abstractNumId="457422">
    <w:lvl>
      <w:numFmt w:val="bullet"/>
      <w:suff w:val="tab"/>
      <w:lvlText w:val="￮"/>
      <w:rPr>
        <w:color w:val="3370ff"/>
      </w:rPr>
    </w:lvl>
  </w:abstractNum>
  <w:abstractNum w:abstractNumId="457423">
    <w:lvl>
      <w:numFmt w:val="bullet"/>
      <w:suff w:val="tab"/>
      <w:lvlText w:val="￮"/>
      <w:rPr>
        <w:color w:val="3370ff"/>
      </w:rPr>
    </w:lvl>
  </w:abstractNum>
  <w:abstractNum w:abstractNumId="457424">
    <w:lvl>
      <w:numFmt w:val="bullet"/>
      <w:suff w:val="tab"/>
      <w:lvlText w:val="•"/>
      <w:rPr>
        <w:color w:val="3370ff"/>
      </w:rPr>
    </w:lvl>
  </w:abstractNum>
  <w:abstractNum w:abstractNumId="457425">
    <w:lvl>
      <w:numFmt w:val="bullet"/>
      <w:suff w:val="tab"/>
      <w:lvlText w:val="￮"/>
      <w:rPr>
        <w:color w:val="3370ff"/>
      </w:rPr>
    </w:lvl>
  </w:abstractNum>
  <w:abstractNum w:abstractNumId="457426">
    <w:lvl>
      <w:numFmt w:val="bullet"/>
      <w:suff w:val="tab"/>
      <w:lvlText w:val="￮"/>
      <w:rPr>
        <w:color w:val="3370ff"/>
      </w:rPr>
    </w:lvl>
  </w:abstractNum>
  <w:abstractNum w:abstractNumId="457427">
    <w:lvl>
      <w:numFmt w:val="bullet"/>
      <w:suff w:val="tab"/>
      <w:lvlText w:val="•"/>
      <w:rPr>
        <w:color w:val="3370ff"/>
      </w:rPr>
    </w:lvl>
  </w:abstractNum>
  <w:abstractNum w:abstractNumId="457428">
    <w:lvl>
      <w:numFmt w:val="bullet"/>
      <w:suff w:val="tab"/>
      <w:lvlText w:val="￮"/>
      <w:rPr>
        <w:color w:val="3370ff"/>
      </w:rPr>
    </w:lvl>
  </w:abstractNum>
  <w:abstractNum w:abstractNumId="457429">
    <w:lvl>
      <w:numFmt w:val="bullet"/>
      <w:suff w:val="tab"/>
      <w:lvlText w:val="￮"/>
      <w:rPr>
        <w:color w:val="3370ff"/>
      </w:rPr>
    </w:lvl>
  </w:abstractNum>
  <w:abstractNum w:abstractNumId="457430">
    <w:lvl>
      <w:numFmt w:val="bullet"/>
      <w:suff w:val="tab"/>
      <w:lvlText w:val="￮"/>
      <w:rPr>
        <w:color w:val="3370ff"/>
      </w:rPr>
    </w:lvl>
  </w:abstractNum>
  <w:abstractNum w:abstractNumId="457431">
    <w:lvl>
      <w:numFmt w:val="bullet"/>
      <w:suff w:val="tab"/>
      <w:lvlText w:val="•"/>
      <w:rPr>
        <w:color w:val="3370ff"/>
      </w:rPr>
    </w:lvl>
  </w:abstractNum>
  <w:abstractNum w:abstractNumId="457432">
    <w:lvl>
      <w:numFmt w:val="bullet"/>
      <w:suff w:val="tab"/>
      <w:lvlText w:val="￮"/>
      <w:rPr>
        <w:color w:val="3370ff"/>
      </w:rPr>
    </w:lvl>
  </w:abstractNum>
  <w:abstractNum w:abstractNumId="457433">
    <w:lvl>
      <w:numFmt w:val="bullet"/>
      <w:suff w:val="tab"/>
      <w:lvlText w:val="￮"/>
      <w:rPr>
        <w:color w:val="3370ff"/>
      </w:rPr>
    </w:lvl>
  </w:abstractNum>
  <w:abstractNum w:abstractNumId="457434">
    <w:lvl>
      <w:numFmt w:val="bullet"/>
      <w:suff w:val="tab"/>
      <w:lvlText w:val="•"/>
      <w:rPr>
        <w:color w:val="3370ff"/>
      </w:rPr>
    </w:lvl>
  </w:abstractNum>
  <w:abstractNum w:abstractNumId="457435">
    <w:lvl>
      <w:numFmt w:val="bullet"/>
      <w:suff w:val="tab"/>
      <w:lvlText w:val="￮"/>
      <w:rPr>
        <w:color w:val="3370ff"/>
      </w:rPr>
    </w:lvl>
  </w:abstractNum>
  <w:abstractNum w:abstractNumId="457436">
    <w:lvl>
      <w:numFmt w:val="bullet"/>
      <w:suff w:val="tab"/>
      <w:lvlText w:val="￮"/>
      <w:rPr>
        <w:color w:val="3370ff"/>
      </w:rPr>
    </w:lvl>
  </w:abstractNum>
  <w:abstractNum w:abstractNumId="457437">
    <w:lvl>
      <w:numFmt w:val="bullet"/>
      <w:suff w:val="tab"/>
      <w:lvlText w:val="￮"/>
      <w:rPr>
        <w:color w:val="3370ff"/>
      </w:rPr>
    </w:lvl>
  </w:abstractNum>
  <w:abstractNum w:abstractNumId="457438">
    <w:lvl>
      <w:numFmt w:val="bullet"/>
      <w:suff w:val="tab"/>
      <w:lvlText w:val="•"/>
      <w:rPr>
        <w:color w:val="3370ff"/>
      </w:rPr>
    </w:lvl>
  </w:abstractNum>
  <w:abstractNum w:abstractNumId="457439">
    <w:lvl>
      <w:numFmt w:val="bullet"/>
      <w:suff w:val="tab"/>
      <w:lvlText w:val="•"/>
      <w:rPr>
        <w:color w:val="3370ff"/>
      </w:rPr>
    </w:lvl>
  </w:abstractNum>
  <w:abstractNum w:abstractNumId="457440">
    <w:lvl>
      <w:numFmt w:val="bullet"/>
      <w:suff w:val="tab"/>
      <w:lvlText w:val="•"/>
      <w:rPr>
        <w:color w:val="3370ff"/>
      </w:rPr>
    </w:lvl>
  </w:abstractNum>
  <w:abstractNum w:abstractNumId="457441">
    <w:lvl>
      <w:numFmt w:val="bullet"/>
      <w:suff w:val="tab"/>
      <w:lvlText w:val="•"/>
      <w:rPr>
        <w:color w:val="3370ff"/>
      </w:rPr>
    </w:lvl>
  </w:abstractNum>
  <w:abstractNum w:abstractNumId="457442">
    <w:lvl>
      <w:numFmt w:val="bullet"/>
      <w:suff w:val="tab"/>
      <w:lvlText w:val="￮"/>
      <w:rPr>
        <w:color w:val="3370ff"/>
      </w:rPr>
    </w:lvl>
  </w:abstractNum>
  <w:abstractNum w:abstractNumId="457443">
    <w:lvl>
      <w:numFmt w:val="bullet"/>
      <w:suff w:val="tab"/>
      <w:lvlText w:val="•"/>
      <w:rPr>
        <w:color w:val="3370ff"/>
      </w:rPr>
    </w:lvl>
  </w:abstractNum>
  <w:abstractNum w:abstractNumId="457444">
    <w:lvl>
      <w:numFmt w:val="bullet"/>
      <w:suff w:val="tab"/>
      <w:lvlText w:val="￮"/>
      <w:rPr>
        <w:color w:val="3370ff"/>
      </w:rPr>
    </w:lvl>
  </w:abstractNum>
  <w:abstractNum w:abstractNumId="457445">
    <w:lvl>
      <w:numFmt w:val="bullet"/>
      <w:suff w:val="tab"/>
      <w:lvlText w:val="•"/>
      <w:rPr>
        <w:color w:val="3370ff"/>
      </w:rPr>
    </w:lvl>
  </w:abstractNum>
  <w:abstractNum w:abstractNumId="457446">
    <w:lvl>
      <w:numFmt w:val="bullet"/>
      <w:suff w:val="tab"/>
      <w:lvlText w:val="•"/>
      <w:rPr>
        <w:color w:val="3370ff"/>
      </w:rPr>
    </w:lvl>
  </w:abstractNum>
  <w:abstractNum w:abstractNumId="457447">
    <w:lvl>
      <w:numFmt w:val="bullet"/>
      <w:suff w:val="tab"/>
      <w:lvlText w:val="•"/>
      <w:rPr>
        <w:color w:val="3370ff"/>
      </w:rPr>
    </w:lvl>
  </w:abstractNum>
  <w:abstractNum w:abstractNumId="457448">
    <w:lvl>
      <w:numFmt w:val="bullet"/>
      <w:suff w:val="tab"/>
      <w:lvlText w:val="•"/>
      <w:rPr>
        <w:color w:val="3370ff"/>
      </w:rPr>
    </w:lvl>
  </w:abstractNum>
  <w:abstractNum w:abstractNumId="457449">
    <w:lvl>
      <w:numFmt w:val="bullet"/>
      <w:suff w:val="tab"/>
      <w:lvlText w:val="•"/>
      <w:rPr>
        <w:color w:val="3370ff"/>
      </w:rPr>
    </w:lvl>
  </w:abstractNum>
  <w:abstractNum w:abstractNumId="457450">
    <w:lvl>
      <w:numFmt w:val="bullet"/>
      <w:suff w:val="tab"/>
      <w:lvlText w:val="•"/>
      <w:rPr>
        <w:color w:val="3370ff"/>
      </w:rPr>
    </w:lvl>
  </w:abstractNum>
  <w:abstractNum w:abstractNumId="457451">
    <w:lvl>
      <w:numFmt w:val="bullet"/>
      <w:suff w:val="tab"/>
      <w:lvlText w:val="•"/>
      <w:rPr>
        <w:color w:val="3370ff"/>
      </w:rPr>
    </w:lvl>
  </w:abstractNum>
  <w:abstractNum w:abstractNumId="457452">
    <w:lvl>
      <w:numFmt w:val="bullet"/>
      <w:suff w:val="tab"/>
      <w:lvlText w:val="•"/>
      <w:rPr>
        <w:color w:val="3370ff"/>
      </w:rPr>
    </w:lvl>
  </w:abstractNum>
  <w:abstractNum w:abstractNumId="457453">
    <w:lvl>
      <w:numFmt w:val="bullet"/>
      <w:suff w:val="tab"/>
      <w:lvlText w:val="•"/>
      <w:rPr>
        <w:color w:val="3370ff"/>
      </w:rPr>
    </w:lvl>
  </w:abstractNum>
  <w:abstractNum w:abstractNumId="457454">
    <w:lvl>
      <w:numFmt w:val="bullet"/>
      <w:suff w:val="tab"/>
      <w:lvlText w:val="•"/>
      <w:rPr>
        <w:color w:val="3370ff"/>
      </w:rPr>
    </w:lvl>
  </w:abstractNum>
  <w:abstractNum w:abstractNumId="457455">
    <w:lvl>
      <w:numFmt w:val="bullet"/>
      <w:suff w:val="tab"/>
      <w:lvlText w:val="•"/>
      <w:rPr>
        <w:color w:val="3370ff"/>
      </w:rPr>
    </w:lvl>
  </w:abstractNum>
  <w:abstractNum w:abstractNumId="457456">
    <w:lvl>
      <w:numFmt w:val="bullet"/>
      <w:suff w:val="tab"/>
      <w:lvlText w:val="•"/>
      <w:rPr>
        <w:color w:val="3370ff"/>
      </w:rPr>
    </w:lvl>
  </w:abstractNum>
  <w:abstractNum w:abstractNumId="457457">
    <w:lvl>
      <w:numFmt w:val="bullet"/>
      <w:suff w:val="tab"/>
      <w:lvlText w:val="•"/>
      <w:rPr>
        <w:color w:val="3370ff"/>
      </w:rPr>
    </w:lvl>
  </w:abstractNum>
  <w:abstractNum w:abstractNumId="457458">
    <w:lvl>
      <w:numFmt w:val="bullet"/>
      <w:suff w:val="tab"/>
      <w:lvlText w:val="•"/>
      <w:rPr>
        <w:color w:val="3370ff"/>
      </w:rPr>
    </w:lvl>
  </w:abstractNum>
  <w:abstractNum w:abstractNumId="457459">
    <w:lvl>
      <w:numFmt w:val="bullet"/>
      <w:suff w:val="tab"/>
      <w:lvlText w:val="•"/>
      <w:rPr>
        <w:color w:val="3370ff"/>
      </w:rPr>
    </w:lvl>
  </w:abstractNum>
  <w:abstractNum w:abstractNumId="457460">
    <w:lvl>
      <w:start w:val="1"/>
      <w:numFmt w:val="decimal"/>
      <w:suff w:val="tab"/>
      <w:lvlText w:val="%1."/>
      <w:rPr>
        <w:color w:val="3370ff"/>
      </w:rPr>
    </w:lvl>
  </w:abstractNum>
  <w:abstractNum w:abstractNumId="457461">
    <w:lvl>
      <w:start w:val="2"/>
      <w:numFmt w:val="decimal"/>
      <w:suff w:val="tab"/>
      <w:lvlText w:val="%1."/>
      <w:rPr>
        <w:color w:val="3370ff"/>
      </w:rPr>
    </w:lvl>
  </w:abstractNum>
  <w:abstractNum w:abstractNumId="457462">
    <w:lvl>
      <w:start w:val="3"/>
      <w:numFmt w:val="decimal"/>
      <w:suff w:val="tab"/>
      <w:lvlText w:val="%1."/>
      <w:rPr>
        <w:color w:val="3370ff"/>
      </w:rPr>
    </w:lvl>
  </w:abstractNum>
  <w:abstractNum w:abstractNumId="457463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457393"/>
  </w:num>
  <w:num w:numId="2">
    <w:abstractNumId w:val="457394"/>
  </w:num>
  <w:num w:numId="3">
    <w:abstractNumId w:val="457395"/>
  </w:num>
  <w:num w:numId="4">
    <w:abstractNumId w:val="457396"/>
  </w:num>
  <w:num w:numId="5">
    <w:abstractNumId w:val="457397"/>
  </w:num>
  <w:num w:numId="6">
    <w:abstractNumId w:val="457398"/>
  </w:num>
  <w:num w:numId="7">
    <w:abstractNumId w:val="457399"/>
  </w:num>
  <w:num w:numId="8">
    <w:abstractNumId w:val="457400"/>
  </w:num>
  <w:num w:numId="9">
    <w:abstractNumId w:val="457401"/>
  </w:num>
  <w:num w:numId="10">
    <w:abstractNumId w:val="457402"/>
  </w:num>
  <w:num w:numId="11">
    <w:abstractNumId w:val="457403"/>
  </w:num>
  <w:num w:numId="12">
    <w:abstractNumId w:val="457404"/>
  </w:num>
  <w:num w:numId="13">
    <w:abstractNumId w:val="457405"/>
  </w:num>
  <w:num w:numId="14">
    <w:abstractNumId w:val="457406"/>
  </w:num>
  <w:num w:numId="15">
    <w:abstractNumId w:val="457407"/>
  </w:num>
  <w:num w:numId="16">
    <w:abstractNumId w:val="457408"/>
  </w:num>
  <w:num w:numId="17">
    <w:abstractNumId w:val="457409"/>
  </w:num>
  <w:num w:numId="18">
    <w:abstractNumId w:val="457410"/>
  </w:num>
  <w:num w:numId="19">
    <w:abstractNumId w:val="457411"/>
  </w:num>
  <w:num w:numId="20">
    <w:abstractNumId w:val="457412"/>
  </w:num>
  <w:num w:numId="21">
    <w:abstractNumId w:val="457413"/>
  </w:num>
  <w:num w:numId="22">
    <w:abstractNumId w:val="457414"/>
  </w:num>
  <w:num w:numId="23">
    <w:abstractNumId w:val="457415"/>
  </w:num>
  <w:num w:numId="24">
    <w:abstractNumId w:val="457416"/>
  </w:num>
  <w:num w:numId="25">
    <w:abstractNumId w:val="457417"/>
  </w:num>
  <w:num w:numId="26">
    <w:abstractNumId w:val="457418"/>
  </w:num>
  <w:num w:numId="27">
    <w:abstractNumId w:val="457419"/>
  </w:num>
  <w:num w:numId="28">
    <w:abstractNumId w:val="457420"/>
  </w:num>
  <w:num w:numId="29">
    <w:abstractNumId w:val="457421"/>
  </w:num>
  <w:num w:numId="30">
    <w:abstractNumId w:val="457422"/>
  </w:num>
  <w:num w:numId="31">
    <w:abstractNumId w:val="457423"/>
  </w:num>
  <w:num w:numId="32">
    <w:abstractNumId w:val="457424"/>
  </w:num>
  <w:num w:numId="33">
    <w:abstractNumId w:val="457425"/>
  </w:num>
  <w:num w:numId="34">
    <w:abstractNumId w:val="457426"/>
  </w:num>
  <w:num w:numId="35">
    <w:abstractNumId w:val="457427"/>
  </w:num>
  <w:num w:numId="36">
    <w:abstractNumId w:val="457428"/>
  </w:num>
  <w:num w:numId="37">
    <w:abstractNumId w:val="457429"/>
  </w:num>
  <w:num w:numId="38">
    <w:abstractNumId w:val="457430"/>
  </w:num>
  <w:num w:numId="39">
    <w:abstractNumId w:val="457431"/>
  </w:num>
  <w:num w:numId="40">
    <w:abstractNumId w:val="457432"/>
  </w:num>
  <w:num w:numId="41">
    <w:abstractNumId w:val="457433"/>
  </w:num>
  <w:num w:numId="42">
    <w:abstractNumId w:val="457434"/>
  </w:num>
  <w:num w:numId="43">
    <w:abstractNumId w:val="457435"/>
  </w:num>
  <w:num w:numId="44">
    <w:abstractNumId w:val="457436"/>
  </w:num>
  <w:num w:numId="45">
    <w:abstractNumId w:val="457437"/>
  </w:num>
  <w:num w:numId="46">
    <w:abstractNumId w:val="457438"/>
  </w:num>
  <w:num w:numId="47">
    <w:abstractNumId w:val="457439"/>
  </w:num>
  <w:num w:numId="48">
    <w:abstractNumId w:val="457440"/>
  </w:num>
  <w:num w:numId="49">
    <w:abstractNumId w:val="457441"/>
  </w:num>
  <w:num w:numId="50">
    <w:abstractNumId w:val="457442"/>
  </w:num>
  <w:num w:numId="51">
    <w:abstractNumId w:val="457443"/>
  </w:num>
  <w:num w:numId="52">
    <w:abstractNumId w:val="457444"/>
  </w:num>
  <w:num w:numId="53">
    <w:abstractNumId w:val="457445"/>
  </w:num>
  <w:num w:numId="54">
    <w:abstractNumId w:val="457446"/>
  </w:num>
  <w:num w:numId="55">
    <w:abstractNumId w:val="457447"/>
  </w:num>
  <w:num w:numId="56">
    <w:abstractNumId w:val="457448"/>
  </w:num>
  <w:num w:numId="57">
    <w:abstractNumId w:val="457449"/>
  </w:num>
  <w:num w:numId="58">
    <w:abstractNumId w:val="457450"/>
  </w:num>
  <w:num w:numId="59">
    <w:abstractNumId w:val="457451"/>
  </w:num>
  <w:num w:numId="60">
    <w:abstractNumId w:val="457452"/>
  </w:num>
  <w:num w:numId="61">
    <w:abstractNumId w:val="457453"/>
  </w:num>
  <w:num w:numId="62">
    <w:abstractNumId w:val="457454"/>
  </w:num>
  <w:num w:numId="63">
    <w:abstractNumId w:val="457455"/>
  </w:num>
  <w:num w:numId="64">
    <w:abstractNumId w:val="457456"/>
  </w:num>
  <w:num w:numId="65">
    <w:abstractNumId w:val="457457"/>
  </w:num>
  <w:num w:numId="66">
    <w:abstractNumId w:val="457458"/>
  </w:num>
  <w:num w:numId="67">
    <w:abstractNumId w:val="457459"/>
  </w:num>
  <w:num w:numId="68">
    <w:abstractNumId w:val="457460"/>
  </w:num>
  <w:num w:numId="69">
    <w:abstractNumId w:val="457461"/>
  </w:num>
  <w:num w:numId="70">
    <w:abstractNumId w:val="457462"/>
  </w:num>
  <w:num w:numId="71">
    <w:abstractNumId w:val="45746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2025-12-30T10:49:27Z</dcterms:created>
  <dc:creator>Apache POI</dc:creator>
</cp:coreProperties>
</file>