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基于可穿戴健康数据的保险风险定价模型平台 PRD</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产品概述</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1.1 背景</w:t>
      </w:r>
      <w:bookmarkEnd w:id="1"/>
    </w:p>
    <w:p>
      <w:pPr>
        <w:spacing w:before="120" w:after="120" w:line="288" w:lineRule="auto"/>
        <w:ind w:left="0"/>
        <w:jc w:val="left"/>
      </w:pPr>
      <w:r>
        <w:rPr>
          <w:rFonts w:eastAsia="等线" w:ascii="Arial" w:cs="Arial" w:hAnsi="Arial"/>
          <w:sz w:val="22"/>
        </w:rPr>
        <w:t>传统保险风险定价依赖于静态数据（如年龄、性别、病史），但可穿戴设备的普及提供了动态、连续的健康数据，能更精准评估投保人健康风险。根据共识文档，心率变异性（HRV）、静息心率、睡眠质量、运动量和血氧饱和度等指标与心血管疾病死亡率和全因死亡率显著相关（文档1、18）。例如，HRV降低（如SDNN &lt; 50ms）是独立的死亡风险预测因子（文档1），静息心率 &gt; 60次/分钟与心力衰竭风险增加相关（文档18）。本平台通过整合这些指标，构建动态风险评分模型，实现差异化定价。1</w:t>
      </w:r>
    </w:p>
    <w:p>
      <w:pPr>
        <w:pStyle w:val="3"/>
        <w:spacing w:before="300" w:after="120" w:line="288" w:lineRule="auto"/>
        <w:ind w:left="0"/>
        <w:jc w:val="left"/>
        <w:outlineLvl w:val="2"/>
      </w:pPr>
      <w:bookmarkStart w:name="heading_2" w:id="2"/>
      <w:r>
        <w:rPr>
          <w:rFonts w:eastAsia="等线" w:ascii="Arial" w:cs="Arial" w:hAnsi="Arial"/>
          <w:b w:val="true"/>
          <w:sz w:val="30"/>
        </w:rPr>
        <w:t>1.2 产品目标</w:t>
      </w:r>
      <w:bookmarkEnd w:id="2"/>
    </w:p>
    <w:p>
      <w:pPr>
        <w:numPr>
          <w:numId w:val="1"/>
        </w:numPr>
        <w:spacing w:before="120" w:after="120" w:line="288" w:lineRule="auto"/>
        <w:ind w:left="0"/>
        <w:jc w:val="left"/>
      </w:pPr>
      <w:r>
        <w:rPr>
          <w:rFonts w:eastAsia="等线" w:ascii="Arial" w:cs="Arial" w:hAnsi="Arial"/>
          <w:b w:val="true"/>
          <w:sz w:val="22"/>
        </w:rPr>
        <w:t>短期目标</w:t>
      </w:r>
      <w:r>
        <w:rPr>
          <w:rFonts w:eastAsia="等线" w:ascii="Arial" w:cs="Arial" w:hAnsi="Arial"/>
          <w:sz w:val="22"/>
        </w:rPr>
        <w:t>：为保险公司提供基于可穿戴数据的风险评分工具，降低核保成本，提高精度。</w:t>
      </w:r>
    </w:p>
    <w:p>
      <w:pPr>
        <w:numPr>
          <w:numId w:val="2"/>
        </w:numPr>
        <w:spacing w:before="120" w:after="120" w:line="288" w:lineRule="auto"/>
        <w:ind w:left="0"/>
        <w:jc w:val="left"/>
      </w:pPr>
      <w:r>
        <w:rPr>
          <w:rFonts w:eastAsia="等线" w:ascii="Arial" w:cs="Arial" w:hAnsi="Arial"/>
          <w:b w:val="true"/>
          <w:sz w:val="22"/>
        </w:rPr>
        <w:t>长期目标</w:t>
      </w:r>
      <w:r>
        <w:rPr>
          <w:rFonts w:eastAsia="等线" w:ascii="Arial" w:cs="Arial" w:hAnsi="Arial"/>
          <w:sz w:val="22"/>
        </w:rPr>
        <w:t>：建立健康数据生态，通过保费激励促进投保人健康行为，降低整体索赔率。</w:t>
      </w:r>
    </w:p>
    <w:p>
      <w:pPr>
        <w:pStyle w:val="3"/>
        <w:spacing w:before="300" w:after="120" w:line="288" w:lineRule="auto"/>
        <w:ind w:left="0"/>
        <w:jc w:val="left"/>
        <w:outlineLvl w:val="2"/>
      </w:pPr>
      <w:bookmarkStart w:name="heading_3" w:id="3"/>
      <w:r>
        <w:rPr>
          <w:rFonts w:eastAsia="等线" w:ascii="Arial" w:cs="Arial" w:hAnsi="Arial"/>
          <w:b w:val="true"/>
          <w:sz w:val="30"/>
        </w:rPr>
        <w:t>1.3 价值主张</w:t>
      </w:r>
      <w:bookmarkEnd w:id="3"/>
    </w:p>
    <w:p>
      <w:pPr>
        <w:numPr>
          <w:numId w:val="3"/>
        </w:numPr>
        <w:spacing w:before="120" w:after="120" w:line="288" w:lineRule="auto"/>
        <w:ind w:left="0"/>
        <w:jc w:val="left"/>
      </w:pPr>
      <w:r>
        <w:rPr>
          <w:rFonts w:eastAsia="等线" w:ascii="Arial" w:cs="Arial" w:hAnsi="Arial"/>
          <w:b w:val="true"/>
          <w:sz w:val="22"/>
        </w:rPr>
        <w:t>对保险公司</w:t>
      </w:r>
      <w:r>
        <w:rPr>
          <w:rFonts w:eastAsia="等线" w:ascii="Arial" w:cs="Arial" w:hAnsi="Arial"/>
          <w:sz w:val="22"/>
        </w:rPr>
        <w:t>：减少信息不对称，精准识别高风险群体，优化保费结构，降低赔付损失。</w:t>
      </w:r>
    </w:p>
    <w:p>
      <w:pPr>
        <w:numPr>
          <w:numId w:val="4"/>
        </w:numPr>
        <w:spacing w:before="120" w:after="120" w:line="288" w:lineRule="auto"/>
        <w:ind w:left="0"/>
        <w:jc w:val="left"/>
      </w:pPr>
      <w:r>
        <w:rPr>
          <w:rFonts w:eastAsia="等线" w:ascii="Arial" w:cs="Arial" w:hAnsi="Arial"/>
          <w:b w:val="true"/>
          <w:sz w:val="22"/>
        </w:rPr>
        <w:t>对投保人</w:t>
      </w:r>
      <w:r>
        <w:rPr>
          <w:rFonts w:eastAsia="等线" w:ascii="Arial" w:cs="Arial" w:hAnsi="Arial"/>
          <w:sz w:val="22"/>
        </w:rPr>
        <w:t>：通过健康行为获得保费折扣，提高健康意识，形成正向循环。</w:t>
      </w:r>
    </w:p>
    <w:p>
      <w:pPr>
        <w:pStyle w:val="3"/>
        <w:spacing w:before="300" w:after="120" w:line="288" w:lineRule="auto"/>
        <w:ind w:left="0"/>
        <w:jc w:val="left"/>
        <w:outlineLvl w:val="2"/>
      </w:pPr>
      <w:bookmarkStart w:name="heading_4" w:id="4"/>
      <w:r>
        <w:rPr>
          <w:rFonts w:eastAsia="等线" w:ascii="Arial" w:cs="Arial" w:hAnsi="Arial"/>
          <w:b w:val="true"/>
          <w:sz w:val="30"/>
        </w:rPr>
        <w:t>1.4 共识知识支撑</w:t>
      </w:r>
      <w:bookmarkEnd w:id="4"/>
    </w:p>
    <w:p>
      <w:pPr>
        <w:numPr>
          <w:numId w:val="5"/>
        </w:numPr>
        <w:spacing w:before="120" w:after="120" w:line="288" w:lineRule="auto"/>
        <w:ind w:left="0"/>
        <w:jc w:val="left"/>
      </w:pPr>
      <w:r>
        <w:rPr>
          <w:rFonts w:eastAsia="等线" w:ascii="Arial" w:cs="Arial" w:hAnsi="Arial"/>
          <w:b w:val="true"/>
          <w:sz w:val="22"/>
        </w:rPr>
        <w:t>HRV</w:t>
      </w:r>
      <w:r>
        <w:rPr>
          <w:rFonts w:eastAsia="等线" w:ascii="Arial" w:cs="Arial" w:hAnsi="Arial"/>
          <w:sz w:val="22"/>
        </w:rPr>
        <w:t>：非线性指标（如加速容量AC、减速容量DC）是心力衰竭患者死亡率的独立预测因子（文档1）；HRV降低与心血管事件风险增加相关（文档18）。1</w:t>
      </w:r>
    </w:p>
    <w:p>
      <w:pPr>
        <w:numPr>
          <w:numId w:val="6"/>
        </w:numPr>
        <w:spacing w:before="120" w:after="120" w:line="288" w:lineRule="auto"/>
        <w:ind w:left="0"/>
        <w:jc w:val="left"/>
      </w:pPr>
      <w:r>
        <w:rPr>
          <w:rFonts w:eastAsia="等线" w:ascii="Arial" w:cs="Arial" w:hAnsi="Arial"/>
          <w:b w:val="true"/>
          <w:sz w:val="22"/>
        </w:rPr>
        <w:t>心率</w:t>
      </w:r>
      <w:r>
        <w:rPr>
          <w:rFonts w:eastAsia="等线" w:ascii="Arial" w:cs="Arial" w:hAnsi="Arial"/>
          <w:sz w:val="22"/>
        </w:rPr>
        <w:t>：静息心率 &gt; 60次/分钟与心力衰竭风险非线性相关（文档18）。19</w:t>
      </w:r>
    </w:p>
    <w:p>
      <w:pPr>
        <w:numPr>
          <w:numId w:val="7"/>
        </w:numPr>
        <w:spacing w:before="120" w:after="120" w:line="288" w:lineRule="auto"/>
        <w:ind w:left="0"/>
        <w:jc w:val="left"/>
      </w:pPr>
      <w:r>
        <w:rPr>
          <w:rFonts w:eastAsia="等线" w:ascii="Arial" w:cs="Arial" w:hAnsi="Arial"/>
          <w:b w:val="true"/>
          <w:sz w:val="22"/>
        </w:rPr>
        <w:t>睡眠</w:t>
      </w:r>
      <w:r>
        <w:rPr>
          <w:rFonts w:eastAsia="等线" w:ascii="Arial" w:cs="Arial" w:hAnsi="Arial"/>
          <w:sz w:val="22"/>
        </w:rPr>
        <w:t>：睡眠时长和质量与心血管风险相关（文档13、14）。</w:t>
      </w:r>
    </w:p>
    <w:p>
      <w:pPr>
        <w:numPr>
          <w:numId w:val="8"/>
        </w:numPr>
        <w:spacing w:before="120" w:after="120" w:line="288" w:lineRule="auto"/>
        <w:ind w:left="0"/>
        <w:jc w:val="left"/>
      </w:pPr>
      <w:r>
        <w:rPr>
          <w:rFonts w:eastAsia="等线" w:ascii="Arial" w:cs="Arial" w:hAnsi="Arial"/>
          <w:b w:val="true"/>
          <w:sz w:val="22"/>
        </w:rPr>
        <w:t>运动</w:t>
      </w:r>
      <w:r>
        <w:rPr>
          <w:rFonts w:eastAsia="等线" w:ascii="Arial" w:cs="Arial" w:hAnsi="Arial"/>
          <w:sz w:val="22"/>
        </w:rPr>
        <w:t>：运动量不足是心血管危险因素（文档11）。</w:t>
      </w:r>
    </w:p>
    <w:p>
      <w:pPr>
        <w:numPr>
          <w:numId w:val="9"/>
        </w:numPr>
        <w:spacing w:before="120" w:after="120" w:line="288" w:lineRule="auto"/>
        <w:ind w:left="0"/>
        <w:jc w:val="left"/>
      </w:pPr>
      <w:r>
        <w:rPr>
          <w:rFonts w:eastAsia="等线" w:ascii="Arial" w:cs="Arial" w:hAnsi="Arial"/>
          <w:b w:val="true"/>
          <w:sz w:val="22"/>
        </w:rPr>
        <w:t>血氧</w:t>
      </w:r>
      <w:r>
        <w:rPr>
          <w:rFonts w:eastAsia="等线" w:ascii="Arial" w:cs="Arial" w:hAnsi="Arial"/>
          <w:sz w:val="22"/>
        </w:rPr>
        <w:t>：血氧饱和度异常可能反映呼吸系统问题，如睡眠呼吸暂停（文档11）。</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 </w:t>
      </w:r>
      <w:r>
        <w:rPr>
          <w:rFonts w:eastAsia="等线" w:ascii="Arial" w:cs="Arial" w:hAnsi="Arial"/>
          <w:b w:val="true"/>
          <w:sz w:val="32"/>
        </w:rPr>
        <w:t>目标用户</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2.1 主要用户</w:t>
      </w:r>
      <w:bookmarkEnd w:id="6"/>
    </w:p>
    <w:p>
      <w:pPr>
        <w:numPr>
          <w:numId w:val="10"/>
        </w:numPr>
        <w:spacing w:before="120" w:after="120" w:line="288" w:lineRule="auto"/>
        <w:ind w:left="0"/>
        <w:jc w:val="left"/>
      </w:pPr>
      <w:r>
        <w:rPr>
          <w:rFonts w:eastAsia="等线" w:ascii="Arial" w:cs="Arial" w:hAnsi="Arial"/>
          <w:b w:val="true"/>
          <w:sz w:val="22"/>
        </w:rPr>
        <w:t>保险公司核保部门</w:t>
      </w:r>
      <w:r>
        <w:rPr>
          <w:rFonts w:eastAsia="等线" w:ascii="Arial" w:cs="Arial" w:hAnsi="Arial"/>
          <w:sz w:val="22"/>
        </w:rPr>
        <w:t>：使用风险评分进行定价决策。</w:t>
      </w:r>
    </w:p>
    <w:p>
      <w:pPr>
        <w:numPr>
          <w:numId w:val="11"/>
        </w:numPr>
        <w:spacing w:before="120" w:after="120" w:line="288" w:lineRule="auto"/>
        <w:ind w:left="0"/>
        <w:jc w:val="left"/>
      </w:pPr>
      <w:r>
        <w:rPr>
          <w:rFonts w:eastAsia="等线" w:ascii="Arial" w:cs="Arial" w:hAnsi="Arial"/>
          <w:b w:val="true"/>
          <w:sz w:val="22"/>
        </w:rPr>
        <w:t>投保人</w:t>
      </w:r>
      <w:r>
        <w:rPr>
          <w:rFonts w:eastAsia="等线" w:ascii="Arial" w:cs="Arial" w:hAnsi="Arial"/>
          <w:sz w:val="22"/>
        </w:rPr>
        <w:t>：主动分享可穿戴数据以获取保费优惠。</w:t>
      </w:r>
    </w:p>
    <w:p>
      <w:pPr>
        <w:pStyle w:val="3"/>
        <w:spacing w:before="300" w:after="120" w:line="288" w:lineRule="auto"/>
        <w:ind w:left="0"/>
        <w:jc w:val="left"/>
        <w:outlineLvl w:val="2"/>
      </w:pPr>
      <w:bookmarkStart w:name="heading_7" w:id="7"/>
      <w:r>
        <w:rPr>
          <w:rFonts w:eastAsia="等线" w:ascii="Arial" w:cs="Arial" w:hAnsi="Arial"/>
          <w:b w:val="true"/>
          <w:sz w:val="30"/>
        </w:rPr>
        <w:t>2.2 次要用户</w:t>
      </w:r>
      <w:bookmarkEnd w:id="7"/>
    </w:p>
    <w:p>
      <w:pPr>
        <w:numPr>
          <w:numId w:val="12"/>
        </w:numPr>
        <w:spacing w:before="120" w:after="120" w:line="288" w:lineRule="auto"/>
        <w:ind w:left="0"/>
        <w:jc w:val="left"/>
      </w:pPr>
      <w:r>
        <w:rPr>
          <w:rFonts w:eastAsia="等线" w:ascii="Arial" w:cs="Arial" w:hAnsi="Arial"/>
          <w:b w:val="true"/>
          <w:sz w:val="22"/>
        </w:rPr>
        <w:t>保险代理商</w:t>
      </w:r>
      <w:r>
        <w:rPr>
          <w:rFonts w:eastAsia="等线" w:ascii="Arial" w:cs="Arial" w:hAnsi="Arial"/>
          <w:sz w:val="22"/>
        </w:rPr>
        <w:t>：向客户推广基于健康数据的保险产品。</w:t>
      </w:r>
    </w:p>
    <w:p>
      <w:pPr>
        <w:numPr>
          <w:numId w:val="13"/>
        </w:numPr>
        <w:spacing w:before="120" w:after="120" w:line="288" w:lineRule="auto"/>
        <w:ind w:left="0"/>
        <w:jc w:val="left"/>
      </w:pPr>
      <w:r>
        <w:rPr>
          <w:rFonts w:eastAsia="等线" w:ascii="Arial" w:cs="Arial" w:hAnsi="Arial"/>
          <w:b w:val="true"/>
          <w:sz w:val="22"/>
        </w:rPr>
        <w:t>健康管理平台</w:t>
      </w:r>
      <w:r>
        <w:rPr>
          <w:rFonts w:eastAsia="等线" w:ascii="Arial" w:cs="Arial" w:hAnsi="Arial"/>
          <w:sz w:val="22"/>
        </w:rPr>
        <w:t>：数据合作方，提供整合服务。</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3. </w:t>
      </w:r>
      <w:r>
        <w:rPr>
          <w:rFonts w:eastAsia="等线" w:ascii="Arial" w:cs="Arial" w:hAnsi="Arial"/>
          <w:b w:val="true"/>
          <w:sz w:val="32"/>
        </w:rPr>
        <w:t>功能需求</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功能模块1: 数据采集与集成</w:t>
      </w:r>
      <w:bookmarkEnd w:id="9"/>
    </w:p>
    <w:p>
      <w:pPr>
        <w:pStyle w:val="4"/>
        <w:spacing w:before="260" w:after="120" w:line="288" w:lineRule="auto"/>
        <w:ind w:left="0"/>
        <w:jc w:val="left"/>
        <w:outlineLvl w:val="3"/>
      </w:pPr>
      <w:bookmarkStart w:name="heading_10" w:id="10"/>
      <w:r>
        <w:rPr>
          <w:rFonts w:eastAsia="等线" w:ascii="Arial" w:cs="Arial" w:hAnsi="Arial"/>
          <w:b w:val="true"/>
          <w:sz w:val="28"/>
        </w:rPr>
        <w:t>功能1.1: 可穿戴设备连接</w:t>
      </w:r>
      <w:bookmarkEnd w:id="10"/>
    </w:p>
    <w:p>
      <w:pPr>
        <w:numPr>
          <w:numId w:val="14"/>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：支持主流可穿戴设备的数据同步，确保数据来源可靠。</w:t>
      </w:r>
    </w:p>
    <w:p>
      <w:pPr>
        <w:numPr>
          <w:numId w:val="15"/>
        </w:numPr>
        <w:spacing w:before="120" w:after="120" w:line="288" w:lineRule="auto"/>
        <w:ind w:left="0"/>
        <w:jc w:val="left"/>
      </w:pPr>
      <w:r>
        <w:rPr>
          <w:rFonts w:eastAsia="等线" w:ascii="Arial" w:cs="Arial" w:hAnsi="Arial"/>
          <w:b w:val="true"/>
          <w:sz w:val="22"/>
        </w:rPr>
        <w:t>用户故事</w:t>
      </w:r>
      <w:r>
        <w:rPr>
          <w:rFonts w:eastAsia="等线" w:ascii="Arial" w:cs="Arial" w:hAnsi="Arial"/>
          <w:sz w:val="22"/>
        </w:rPr>
        <w:t>：作为投保人，我可以通过APP连接我的Apple Watch或Fitbit，自动同步健康数据。</w:t>
      </w:r>
    </w:p>
    <w:p>
      <w:pPr>
        <w:numPr>
          <w:numId w:val="16"/>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17"/>
        </w:numPr>
        <w:spacing w:before="120" w:after="120" w:line="288" w:lineRule="auto"/>
        <w:ind w:left="453"/>
        <w:jc w:val="left"/>
      </w:pPr>
      <w:r>
        <w:rPr>
          <w:rFonts w:eastAsia="等线" w:ascii="Arial" w:cs="Arial" w:hAnsi="Arial"/>
          <w:b w:val="true"/>
          <w:sz w:val="22"/>
        </w:rPr>
        <w:t>设备认证</w:t>
      </w:r>
      <w:r>
        <w:rPr>
          <w:rFonts w:eastAsia="等线" w:ascii="Arial" w:cs="Arial" w:hAnsi="Arial"/>
          <w:sz w:val="22"/>
        </w:rPr>
        <w:t>：支持OAuth 2.0协议，集成Apple HealthKit、Google Fit、Fitbit API等。</w:t>
      </w:r>
    </w:p>
    <w:p>
      <w:pPr>
        <w:numPr>
          <w:numId w:val="18"/>
        </w:numPr>
        <w:spacing w:before="120" w:after="120" w:line="288" w:lineRule="auto"/>
        <w:ind w:left="453"/>
        <w:jc w:val="left"/>
      </w:pPr>
      <w:r>
        <w:rPr>
          <w:rFonts w:eastAsia="等线" w:ascii="Arial" w:cs="Arial" w:hAnsi="Arial"/>
          <w:b w:val="true"/>
          <w:sz w:val="22"/>
        </w:rPr>
        <w:t>数据同步调度</w:t>
      </w:r>
      <w:r>
        <w:rPr>
          <w:rFonts w:eastAsia="等线" w:ascii="Arial" w:cs="Arial" w:hAnsi="Arial"/>
          <w:sz w:val="22"/>
        </w:rPr>
        <w:t>：每日自动同步数据，支持手动触发实时同步。</w:t>
      </w:r>
    </w:p>
    <w:p>
      <w:pPr>
        <w:numPr>
          <w:numId w:val="19"/>
        </w:numPr>
        <w:spacing w:before="120" w:after="120" w:line="288" w:lineRule="auto"/>
        <w:ind w:left="453"/>
        <w:jc w:val="left"/>
      </w:pPr>
      <w:r>
        <w:rPr>
          <w:rFonts w:eastAsia="等线" w:ascii="Arial" w:cs="Arial" w:hAnsi="Arial"/>
          <w:b w:val="true"/>
          <w:sz w:val="22"/>
        </w:rPr>
        <w:t>数据类型支持</w:t>
      </w:r>
      <w:r>
        <w:rPr>
          <w:rFonts w:eastAsia="等线" w:ascii="Arial" w:cs="Arial" w:hAnsi="Arial"/>
          <w:sz w:val="22"/>
        </w:rPr>
        <w:t xml:space="preserve">： </w:t>
      </w:r>
    </w:p>
    <w:p>
      <w:pPr>
        <w:numPr>
          <w:numId w:val="20"/>
        </w:numPr>
        <w:spacing w:before="120" w:after="120" w:line="288" w:lineRule="auto"/>
        <w:ind w:left="907"/>
        <w:jc w:val="left"/>
      </w:pPr>
      <w:r>
        <w:rPr>
          <w:rFonts w:eastAsia="等线" w:ascii="Arial" w:cs="Arial" w:hAnsi="Arial"/>
          <w:sz w:val="22"/>
        </w:rPr>
        <w:t>HRV数据：时域指标（SDNN、RMSSD、PNN50）、频域指标（LF、HF、LF/HF）、非线性指标（AC、DC、time lag），参考文档1的计算标准。1</w:t>
      </w:r>
    </w:p>
    <w:p>
      <w:pPr>
        <w:numPr>
          <w:numId w:val="21"/>
        </w:numPr>
        <w:spacing w:before="120" w:after="120" w:line="288" w:lineRule="auto"/>
        <w:ind w:left="907"/>
        <w:jc w:val="left"/>
      </w:pPr>
      <w:r>
        <w:rPr>
          <w:rFonts w:eastAsia="等线" w:ascii="Arial" w:cs="Arial" w:hAnsi="Arial"/>
          <w:sz w:val="22"/>
        </w:rPr>
        <w:t>心率数据：静息心率、动态心率曲线（24小时平均值、峰值）。</w:t>
      </w:r>
    </w:p>
    <w:p>
      <w:pPr>
        <w:numPr>
          <w:numId w:val="22"/>
        </w:numPr>
        <w:spacing w:before="120" w:after="120" w:line="288" w:lineRule="auto"/>
        <w:ind w:left="907"/>
        <w:jc w:val="left"/>
      </w:pPr>
      <w:r>
        <w:rPr>
          <w:rFonts w:eastAsia="等线" w:ascii="Arial" w:cs="Arial" w:hAnsi="Arial"/>
          <w:sz w:val="22"/>
        </w:rPr>
        <w:t>睡眠数据：总时长、深睡比例、中断次数、睡眠效率（基于文档13的睡眠质量指标）。</w:t>
      </w:r>
    </w:p>
    <w:p>
      <w:pPr>
        <w:numPr>
          <w:numId w:val="23"/>
        </w:numPr>
        <w:spacing w:before="120" w:after="120" w:line="288" w:lineRule="auto"/>
        <w:ind w:left="907"/>
        <w:jc w:val="left"/>
      </w:pPr>
      <w:r>
        <w:rPr>
          <w:rFonts w:eastAsia="等线" w:ascii="Arial" w:cs="Arial" w:hAnsi="Arial"/>
          <w:sz w:val="22"/>
        </w:rPr>
        <w:t>运动数据：每日步数、中高强度活动分钟数、卡路里消耗。</w:t>
      </w:r>
    </w:p>
    <w:p>
      <w:pPr>
        <w:numPr>
          <w:numId w:val="24"/>
        </w:numPr>
        <w:spacing w:before="120" w:after="120" w:line="288" w:lineRule="auto"/>
        <w:ind w:left="907"/>
        <w:jc w:val="left"/>
      </w:pPr>
      <w:r>
        <w:rPr>
          <w:rFonts w:eastAsia="等线" w:ascii="Arial" w:cs="Arial" w:hAnsi="Arial"/>
          <w:sz w:val="22"/>
        </w:rPr>
        <w:t>血氧数据：平均血氧饱和度、夜间血氧下降指数（ODI）。</w:t>
      </w:r>
    </w:p>
    <w:p>
      <w:pPr>
        <w:numPr>
          <w:numId w:val="25"/>
        </w:numPr>
        <w:spacing w:before="120" w:after="120" w:line="288" w:lineRule="auto"/>
        <w:ind w:left="453"/>
        <w:jc w:val="left"/>
      </w:pPr>
      <w:r>
        <w:rPr>
          <w:rFonts w:eastAsia="等线" w:ascii="Arial" w:cs="Arial" w:hAnsi="Arial"/>
          <w:b w:val="true"/>
          <w:sz w:val="22"/>
        </w:rPr>
        <w:t>兼容性管理</w:t>
      </w:r>
      <w:r>
        <w:rPr>
          <w:rFonts w:eastAsia="等线" w:ascii="Arial" w:cs="Arial" w:hAnsi="Arial"/>
          <w:sz w:val="22"/>
        </w:rPr>
        <w:t>：支持设备列表动态更新，处理不同设备的数据格式差异。</w:t>
      </w:r>
    </w:p>
    <w:p>
      <w:pPr>
        <w:pStyle w:val="4"/>
        <w:spacing w:before="260" w:after="120" w:line="288" w:lineRule="auto"/>
        <w:ind w:left="0"/>
        <w:jc w:val="left"/>
        <w:outlineLvl w:val="3"/>
      </w:pPr>
      <w:bookmarkStart w:name="heading_11" w:id="11"/>
      <w:r>
        <w:rPr>
          <w:rFonts w:eastAsia="等线" w:ascii="Arial" w:cs="Arial" w:hAnsi="Arial"/>
          <w:b w:val="true"/>
          <w:sz w:val="28"/>
        </w:rPr>
        <w:t>功能1.2: 数据验证与清洗</w:t>
      </w:r>
      <w:bookmarkEnd w:id="11"/>
    </w:p>
    <w:p>
      <w:pPr>
        <w:numPr>
          <w:numId w:val="26"/>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：确保数据质量，排除异常值，提高模型可靠性。</w:t>
      </w:r>
    </w:p>
    <w:p>
      <w:pPr>
        <w:numPr>
          <w:numId w:val="27"/>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28"/>
        </w:numPr>
        <w:spacing w:before="120" w:after="120" w:line="288" w:lineRule="auto"/>
        <w:ind w:left="453"/>
        <w:jc w:val="left"/>
      </w:pPr>
      <w:r>
        <w:rPr>
          <w:rFonts w:eastAsia="等线" w:ascii="Arial" w:cs="Arial" w:hAnsi="Arial"/>
          <w:b w:val="true"/>
          <w:sz w:val="22"/>
        </w:rPr>
        <w:t>完整性检查</w:t>
      </w:r>
      <w:r>
        <w:rPr>
          <w:rFonts w:eastAsia="等线" w:ascii="Arial" w:cs="Arial" w:hAnsi="Arial"/>
          <w:sz w:val="22"/>
        </w:rPr>
        <w:t>：每日检查必填字段（如HRV、心率）的缺失率，阈值可配置（如缺失率&gt;20%则标记）。</w:t>
      </w:r>
    </w:p>
    <w:p>
      <w:pPr>
        <w:numPr>
          <w:numId w:val="29"/>
        </w:numPr>
        <w:spacing w:before="120" w:after="120" w:line="288" w:lineRule="auto"/>
        <w:ind w:left="453"/>
        <w:jc w:val="left"/>
      </w:pPr>
      <w:r>
        <w:rPr>
          <w:rFonts w:eastAsia="等线" w:ascii="Arial" w:cs="Arial" w:hAnsi="Arial"/>
          <w:b w:val="true"/>
          <w:sz w:val="22"/>
        </w:rPr>
        <w:t>异常检测</w:t>
      </w:r>
      <w:r>
        <w:rPr>
          <w:rFonts w:eastAsia="等线" w:ascii="Arial" w:cs="Arial" w:hAnsi="Arial"/>
          <w:sz w:val="22"/>
        </w:rPr>
        <w:t xml:space="preserve">： </w:t>
      </w:r>
    </w:p>
    <w:p>
      <w:pPr>
        <w:numPr>
          <w:numId w:val="30"/>
        </w:numPr>
        <w:spacing w:before="120" w:after="120" w:line="288" w:lineRule="auto"/>
        <w:ind w:left="907"/>
        <w:jc w:val="left"/>
      </w:pPr>
      <w:r>
        <w:rPr>
          <w:rFonts w:eastAsia="等线" w:ascii="Arial" w:cs="Arial" w:hAnsi="Arial"/>
          <w:sz w:val="22"/>
        </w:rPr>
        <w:t>心率异常：识别心率&lt;30或&gt;200次/分钟的数据点（基于文档18的正常范围）。</w:t>
      </w:r>
    </w:p>
    <w:p>
      <w:pPr>
        <w:numPr>
          <w:numId w:val="31"/>
        </w:numPr>
        <w:spacing w:before="120" w:after="120" w:line="288" w:lineRule="auto"/>
        <w:ind w:left="907"/>
        <w:jc w:val="left"/>
      </w:pPr>
      <w:r>
        <w:rPr>
          <w:rFonts w:eastAsia="等线" w:ascii="Arial" w:cs="Arial" w:hAnsi="Arial"/>
          <w:sz w:val="22"/>
        </w:rPr>
        <w:t>血氧异常：标记血氧饱和度&lt;90%的数据（文档11）。</w:t>
      </w:r>
    </w:p>
    <w:p>
      <w:pPr>
        <w:numPr>
          <w:numId w:val="32"/>
        </w:numPr>
        <w:spacing w:before="120" w:after="120" w:line="288" w:lineRule="auto"/>
        <w:ind w:left="907"/>
        <w:jc w:val="left"/>
      </w:pPr>
      <w:r>
        <w:rPr>
          <w:rFonts w:eastAsia="等线" w:ascii="Arial" w:cs="Arial" w:hAnsi="Arial"/>
          <w:sz w:val="22"/>
        </w:rPr>
        <w:t>运动异常：检测步数突然激增（如&gt;50,000步/日）可能为设备错误。</w:t>
      </w:r>
    </w:p>
    <w:p>
      <w:pPr>
        <w:numPr>
          <w:numId w:val="33"/>
        </w:numPr>
        <w:spacing w:before="120" w:after="120" w:line="288" w:lineRule="auto"/>
        <w:ind w:left="453"/>
        <w:jc w:val="left"/>
      </w:pPr>
      <w:r>
        <w:rPr>
          <w:rFonts w:eastAsia="等线" w:ascii="Arial" w:cs="Arial" w:hAnsi="Arial"/>
          <w:b w:val="true"/>
          <w:sz w:val="22"/>
        </w:rPr>
        <w:t>数据补全策略</w:t>
      </w:r>
      <w:r>
        <w:rPr>
          <w:rFonts w:eastAsia="等线" w:ascii="Arial" w:cs="Arial" w:hAnsi="Arial"/>
          <w:sz w:val="22"/>
        </w:rPr>
        <w:t>：对于缺失数据，使用历史7天平均值填充或标记为“不可用”。</w:t>
      </w:r>
    </w:p>
    <w:p>
      <w:pPr>
        <w:numPr>
          <w:numId w:val="34"/>
        </w:numPr>
        <w:spacing w:before="120" w:after="120" w:line="288" w:lineRule="auto"/>
        <w:ind w:left="453"/>
        <w:jc w:val="left"/>
      </w:pPr>
      <w:r>
        <w:rPr>
          <w:rFonts w:eastAsia="等线" w:ascii="Arial" w:cs="Arial" w:hAnsi="Arial"/>
          <w:b w:val="true"/>
          <w:sz w:val="22"/>
        </w:rPr>
        <w:t>质量评分</w:t>
      </w:r>
      <w:r>
        <w:rPr>
          <w:rFonts w:eastAsia="等线" w:ascii="Arial" w:cs="Arial" w:hAnsi="Arial"/>
          <w:sz w:val="22"/>
        </w:rPr>
        <w:t>：为每个用户生成数据质量评分，影响风险计算权重。</w:t>
      </w:r>
    </w:p>
    <w:p>
      <w:pPr>
        <w:pStyle w:val="3"/>
        <w:spacing w:before="300" w:after="120" w:line="288" w:lineRule="auto"/>
        <w:ind w:left="0"/>
        <w:jc w:val="left"/>
        <w:outlineLvl w:val="2"/>
      </w:pPr>
      <w:bookmarkStart w:name="heading_12" w:id="12"/>
      <w:r>
        <w:rPr>
          <w:rFonts w:eastAsia="等线" w:ascii="Arial" w:cs="Arial" w:hAnsi="Arial"/>
          <w:b w:val="true"/>
          <w:sz w:val="30"/>
        </w:rPr>
        <w:t>功能模块2: 风险评分模型</w:t>
      </w:r>
      <w:bookmarkEnd w:id="12"/>
    </w:p>
    <w:p>
      <w:pPr>
        <w:pStyle w:val="4"/>
        <w:spacing w:before="260" w:after="120" w:line="288" w:lineRule="auto"/>
        <w:ind w:left="0"/>
        <w:jc w:val="left"/>
        <w:outlineLvl w:val="3"/>
      </w:pPr>
      <w:bookmarkStart w:name="heading_13" w:id="13"/>
      <w:r>
        <w:rPr>
          <w:rFonts w:eastAsia="等线" w:ascii="Arial" w:cs="Arial" w:hAnsi="Arial"/>
          <w:b w:val="true"/>
          <w:sz w:val="28"/>
        </w:rPr>
        <w:t>功能2.1: HRV风险计算</w:t>
      </w:r>
      <w:bookmarkEnd w:id="13"/>
    </w:p>
    <w:p>
      <w:pPr>
        <w:numPr>
          <w:numId w:val="35"/>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：基于HRV指标计算心血管死亡风险分数。</w:t>
      </w:r>
    </w:p>
    <w:p>
      <w:pPr>
        <w:numPr>
          <w:numId w:val="36"/>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37"/>
        </w:numPr>
        <w:spacing w:before="120" w:after="120" w:line="288" w:lineRule="auto"/>
        <w:ind w:left="453"/>
        <w:jc w:val="left"/>
      </w:pPr>
      <w:r>
        <w:rPr>
          <w:rFonts w:eastAsia="等线" w:ascii="Arial" w:cs="Arial" w:hAnsi="Arial"/>
          <w:b w:val="true"/>
          <w:sz w:val="22"/>
        </w:rPr>
        <w:t>指标计算</w:t>
      </w:r>
      <w:r>
        <w:rPr>
          <w:rFonts w:eastAsia="等线" w:ascii="Arial" w:cs="Arial" w:hAnsi="Arial"/>
          <w:sz w:val="22"/>
        </w:rPr>
        <w:t xml:space="preserve">： </w:t>
      </w:r>
    </w:p>
    <w:p>
      <w:pPr>
        <w:numPr>
          <w:numId w:val="38"/>
        </w:numPr>
        <w:spacing w:before="120" w:after="120" w:line="288" w:lineRule="auto"/>
        <w:ind w:left="907"/>
        <w:jc w:val="left"/>
      </w:pPr>
      <w:r>
        <w:rPr>
          <w:rFonts w:eastAsia="等线" w:ascii="Arial" w:cs="Arial" w:hAnsi="Arial"/>
          <w:sz w:val="22"/>
        </w:rPr>
        <w:t>时域指标：计算24小时SDNN（正常值&gt;100ms，文档1）、RMSSD、PNN50。</w:t>
      </w:r>
    </w:p>
    <w:p>
      <w:pPr>
        <w:numPr>
          <w:numId w:val="39"/>
        </w:numPr>
        <w:spacing w:before="120" w:after="120" w:line="288" w:lineRule="auto"/>
        <w:ind w:left="907"/>
        <w:jc w:val="left"/>
      </w:pPr>
      <w:r>
        <w:rPr>
          <w:rFonts w:eastAsia="等线" w:ascii="Arial" w:cs="Arial" w:hAnsi="Arial"/>
          <w:sz w:val="22"/>
        </w:rPr>
        <w:t>频域指标：通过傅里叶变换计算LF、HF功率，LF/HF比率（反映交感/迷走平衡）。5</w:t>
      </w:r>
    </w:p>
    <w:p>
      <w:pPr>
        <w:numPr>
          <w:numId w:val="40"/>
        </w:numPr>
        <w:spacing w:before="120" w:after="120" w:line="288" w:lineRule="auto"/>
        <w:ind w:left="907"/>
        <w:jc w:val="left"/>
      </w:pPr>
      <w:r>
        <w:rPr>
          <w:rFonts w:eastAsia="等线" w:ascii="Arial" w:cs="Arial" w:hAnsi="Arial"/>
          <w:sz w:val="22"/>
        </w:rPr>
        <w:t>非线性指标：计算加速容量（AC）和减速容量（DC），参考文档1的公式（AC的HR per SD 1.53，DC的HR per SD 0.70）。1</w:t>
      </w:r>
    </w:p>
    <w:p>
      <w:pPr>
        <w:numPr>
          <w:numId w:val="41"/>
        </w:numPr>
        <w:spacing w:before="120" w:after="120" w:line="288" w:lineRule="auto"/>
        <w:ind w:left="453"/>
        <w:jc w:val="left"/>
      </w:pPr>
      <w:r>
        <w:rPr>
          <w:rFonts w:eastAsia="等线" w:ascii="Arial" w:cs="Arial" w:hAnsi="Arial"/>
          <w:b w:val="true"/>
          <w:sz w:val="22"/>
        </w:rPr>
        <w:t>风险分层</w:t>
      </w:r>
      <w:r>
        <w:rPr>
          <w:rFonts w:eastAsia="等线" w:ascii="Arial" w:cs="Arial" w:hAnsi="Arial"/>
          <w:sz w:val="22"/>
        </w:rPr>
        <w:t xml:space="preserve">： </w:t>
      </w:r>
    </w:p>
    <w:p>
      <w:pPr>
        <w:numPr>
          <w:numId w:val="42"/>
        </w:numPr>
        <w:spacing w:before="120" w:after="120" w:line="288" w:lineRule="auto"/>
        <w:ind w:left="907"/>
        <w:jc w:val="left"/>
      </w:pPr>
      <w:r>
        <w:rPr>
          <w:rFonts w:eastAsia="等线" w:ascii="Arial" w:cs="Arial" w:hAnsi="Arial"/>
          <w:sz w:val="22"/>
        </w:rPr>
        <w:t>低风险：SDNN &gt; 100ms，AC &lt; -3.97，DC &gt; 5.71（文档1的分层）。</w:t>
      </w:r>
    </w:p>
    <w:p>
      <w:pPr>
        <w:numPr>
          <w:numId w:val="43"/>
        </w:numPr>
        <w:spacing w:before="120" w:after="120" w:line="288" w:lineRule="auto"/>
        <w:ind w:left="907"/>
        <w:jc w:val="left"/>
      </w:pPr>
      <w:r>
        <w:rPr>
          <w:rFonts w:eastAsia="等线" w:ascii="Arial" w:cs="Arial" w:hAnsi="Arial"/>
          <w:sz w:val="22"/>
        </w:rPr>
        <w:t>中风险：SDNN 50-100ms。</w:t>
      </w:r>
    </w:p>
    <w:p>
      <w:pPr>
        <w:numPr>
          <w:numId w:val="44"/>
        </w:numPr>
        <w:spacing w:before="120" w:after="120" w:line="288" w:lineRule="auto"/>
        <w:ind w:left="907"/>
        <w:jc w:val="left"/>
      </w:pPr>
      <w:r>
        <w:rPr>
          <w:rFonts w:eastAsia="等线" w:ascii="Arial" w:cs="Arial" w:hAnsi="Arial"/>
          <w:sz w:val="22"/>
        </w:rPr>
        <w:t>高风险：SDNN &lt; 50ms，AC &gt; -3.97，DC &lt; 4.03。</w:t>
      </w:r>
    </w:p>
    <w:p>
      <w:pPr>
        <w:numPr>
          <w:numId w:val="45"/>
        </w:numPr>
        <w:spacing w:before="120" w:after="120" w:line="288" w:lineRule="auto"/>
        <w:ind w:left="453"/>
        <w:jc w:val="left"/>
      </w:pPr>
      <w:r>
        <w:rPr>
          <w:rFonts w:eastAsia="等线" w:ascii="Arial" w:cs="Arial" w:hAnsi="Arial"/>
          <w:b w:val="true"/>
          <w:sz w:val="22"/>
        </w:rPr>
        <w:t>动态趋势分析</w:t>
      </w:r>
      <w:r>
        <w:rPr>
          <w:rFonts w:eastAsia="等线" w:ascii="Arial" w:cs="Arial" w:hAnsi="Arial"/>
          <w:sz w:val="22"/>
        </w:rPr>
        <w:t>：比较30天内HRV变化率，下降&gt;10%则风险加分。</w:t>
      </w:r>
    </w:p>
    <w:p>
      <w:pPr>
        <w:pStyle w:val="4"/>
        <w:spacing w:before="260" w:after="120" w:line="288" w:lineRule="auto"/>
        <w:ind w:left="0"/>
        <w:jc w:val="left"/>
        <w:outlineLvl w:val="3"/>
      </w:pPr>
      <w:bookmarkStart w:name="heading_14" w:id="14"/>
      <w:r>
        <w:rPr>
          <w:rFonts w:eastAsia="等线" w:ascii="Arial" w:cs="Arial" w:hAnsi="Arial"/>
          <w:b w:val="true"/>
          <w:sz w:val="28"/>
        </w:rPr>
        <w:t>功能2.2: 心率风险计算</w:t>
      </w:r>
      <w:bookmarkEnd w:id="14"/>
    </w:p>
    <w:p>
      <w:pPr>
        <w:numPr>
          <w:numId w:val="46"/>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：静息心率作为独立风险因子。</w:t>
      </w:r>
    </w:p>
    <w:p>
      <w:pPr>
        <w:numPr>
          <w:numId w:val="47"/>
        </w:numPr>
        <w:spacing w:before="120" w:after="120" w:line="288" w:lineRule="auto"/>
        <w:ind w:left="0"/>
        <w:jc w:val="left"/>
      </w:pPr>
      <w:r>
        <w:rPr>
          <w:rFonts w:eastAsia="等线" w:ascii="Arial" w:cs="Arial" w:hAnsi="Arial"/>
          <w:sz w:val="22"/>
        </w:rPr>
        <w:t>10</w:t>
      </w:r>
    </w:p>
    <w:p>
      <w:pPr>
        <w:numPr>
          <w:numId w:val="48"/>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49"/>
        </w:numPr>
        <w:spacing w:before="120" w:after="120" w:line="288" w:lineRule="auto"/>
        <w:ind w:left="453"/>
        <w:jc w:val="left"/>
      </w:pPr>
      <w:r>
        <w:rPr>
          <w:rFonts w:eastAsia="等线" w:ascii="Arial" w:cs="Arial" w:hAnsi="Arial"/>
          <w:b w:val="true"/>
          <w:sz w:val="22"/>
        </w:rPr>
        <w:t>静息心率提取</w:t>
      </w:r>
      <w:r>
        <w:rPr>
          <w:rFonts w:eastAsia="等线" w:ascii="Arial" w:cs="Arial" w:hAnsi="Arial"/>
          <w:sz w:val="22"/>
        </w:rPr>
        <w:t>：从夜间睡眠数据中提取最低心率作为静息值（文档18）。</w:t>
      </w:r>
    </w:p>
    <w:p>
      <w:pPr>
        <w:numPr>
          <w:numId w:val="50"/>
        </w:numPr>
        <w:spacing w:before="120" w:after="120" w:line="288" w:lineRule="auto"/>
        <w:ind w:left="453"/>
        <w:jc w:val="left"/>
      </w:pPr>
      <w:r>
        <w:rPr>
          <w:rFonts w:eastAsia="等线" w:ascii="Arial" w:cs="Arial" w:hAnsi="Arial"/>
          <w:b w:val="true"/>
          <w:sz w:val="22"/>
        </w:rPr>
        <w:t>风险分层</w:t>
      </w:r>
      <w:r>
        <w:rPr>
          <w:rFonts w:eastAsia="等线" w:ascii="Arial" w:cs="Arial" w:hAnsi="Arial"/>
          <w:sz w:val="22"/>
        </w:rPr>
        <w:t xml:space="preserve">： </w:t>
      </w:r>
    </w:p>
    <w:p>
      <w:pPr>
        <w:numPr>
          <w:numId w:val="51"/>
        </w:numPr>
        <w:spacing w:before="120" w:after="120" w:line="288" w:lineRule="auto"/>
        <w:ind w:left="907"/>
        <w:jc w:val="left"/>
      </w:pPr>
      <w:r>
        <w:rPr>
          <w:rFonts w:eastAsia="等线" w:ascii="Arial" w:cs="Arial" w:hAnsi="Arial"/>
          <w:sz w:val="22"/>
        </w:rPr>
        <w:t>低风险：&lt;60次/分钟。</w:t>
      </w:r>
    </w:p>
    <w:p>
      <w:pPr>
        <w:numPr>
          <w:numId w:val="52"/>
        </w:numPr>
        <w:spacing w:before="120" w:after="120" w:line="288" w:lineRule="auto"/>
        <w:ind w:left="907"/>
        <w:jc w:val="left"/>
      </w:pPr>
      <w:r>
        <w:rPr>
          <w:rFonts w:eastAsia="等线" w:ascii="Arial" w:cs="Arial" w:hAnsi="Arial"/>
          <w:sz w:val="22"/>
        </w:rPr>
        <w:t>中风险：60-80次/分钟。</w:t>
      </w:r>
    </w:p>
    <w:p>
      <w:pPr>
        <w:numPr>
          <w:numId w:val="53"/>
        </w:numPr>
        <w:spacing w:before="120" w:after="120" w:line="288" w:lineRule="auto"/>
        <w:ind w:left="907"/>
        <w:jc w:val="left"/>
      </w:pPr>
      <w:r>
        <w:rPr>
          <w:rFonts w:eastAsia="等线" w:ascii="Arial" w:cs="Arial" w:hAnsi="Arial"/>
          <w:sz w:val="22"/>
        </w:rPr>
        <w:t>高风险：&gt;80次/分钟（文档18显示风险显著增加）。</w:t>
      </w:r>
    </w:p>
    <w:p>
      <w:pPr>
        <w:numPr>
          <w:numId w:val="54"/>
        </w:numPr>
        <w:spacing w:before="120" w:after="120" w:line="288" w:lineRule="auto"/>
        <w:ind w:left="453"/>
        <w:jc w:val="left"/>
      </w:pPr>
      <w:r>
        <w:rPr>
          <w:rFonts w:eastAsia="等线" w:ascii="Arial" w:cs="Arial" w:hAnsi="Arial"/>
          <w:b w:val="true"/>
          <w:sz w:val="22"/>
        </w:rPr>
        <w:t>变异性分析</w:t>
      </w:r>
      <w:r>
        <w:rPr>
          <w:rFonts w:eastAsia="等线" w:ascii="Arial" w:cs="Arial" w:hAnsi="Arial"/>
          <w:sz w:val="22"/>
        </w:rPr>
        <w:t>：计算心率标准差（SDNN），与HRV指标交叉验证。9</w:t>
      </w:r>
    </w:p>
    <w:p>
      <w:pPr>
        <w:pStyle w:val="4"/>
        <w:spacing w:before="260" w:after="120" w:line="288" w:lineRule="auto"/>
        <w:ind w:left="0"/>
        <w:jc w:val="left"/>
        <w:outlineLvl w:val="3"/>
      </w:pPr>
      <w:bookmarkStart w:name="heading_15" w:id="15"/>
      <w:r>
        <w:rPr>
          <w:rFonts w:eastAsia="等线" w:ascii="Arial" w:cs="Arial" w:hAnsi="Arial"/>
          <w:b w:val="true"/>
          <w:sz w:val="28"/>
        </w:rPr>
        <w:t>功能2.3: 睡眠质量评估</w:t>
      </w:r>
      <w:bookmarkEnd w:id="15"/>
    </w:p>
    <w:p>
      <w:pPr>
        <w:numPr>
          <w:numId w:val="55"/>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：睡眠数据与心血管风险相关。</w:t>
      </w:r>
    </w:p>
    <w:p>
      <w:pPr>
        <w:numPr>
          <w:numId w:val="56"/>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57"/>
        </w:numPr>
        <w:spacing w:before="120" w:after="120" w:line="288" w:lineRule="auto"/>
        <w:ind w:left="453"/>
        <w:jc w:val="left"/>
      </w:pPr>
      <w:r>
        <w:rPr>
          <w:rFonts w:eastAsia="等线" w:ascii="Arial" w:cs="Arial" w:hAnsi="Arial"/>
          <w:b w:val="true"/>
          <w:sz w:val="22"/>
        </w:rPr>
        <w:t>睡眠时长评分</w:t>
      </w:r>
      <w:r>
        <w:rPr>
          <w:rFonts w:eastAsia="等线" w:ascii="Arial" w:cs="Arial" w:hAnsi="Arial"/>
          <w:sz w:val="22"/>
        </w:rPr>
        <w:t>：理想时长7-9小时（文档13），&lt;6小时或&gt;9小时扣分。</w:t>
      </w:r>
    </w:p>
    <w:p>
      <w:pPr>
        <w:numPr>
          <w:numId w:val="58"/>
        </w:numPr>
        <w:spacing w:before="120" w:after="120" w:line="288" w:lineRule="auto"/>
        <w:ind w:left="453"/>
        <w:jc w:val="left"/>
      </w:pPr>
      <w:r>
        <w:rPr>
          <w:rFonts w:eastAsia="等线" w:ascii="Arial" w:cs="Arial" w:hAnsi="Arial"/>
          <w:b w:val="true"/>
          <w:sz w:val="22"/>
        </w:rPr>
        <w:t>睡眠连续性</w:t>
      </w:r>
      <w:r>
        <w:rPr>
          <w:rFonts w:eastAsia="等线" w:ascii="Arial" w:cs="Arial" w:hAnsi="Arial"/>
          <w:sz w:val="22"/>
        </w:rPr>
        <w:t>：计算夜间觉醒次数，&gt;5次/夜则风险加分。</w:t>
      </w:r>
    </w:p>
    <w:p>
      <w:pPr>
        <w:numPr>
          <w:numId w:val="59"/>
        </w:numPr>
        <w:spacing w:before="120" w:after="120" w:line="288" w:lineRule="auto"/>
        <w:ind w:left="453"/>
        <w:jc w:val="left"/>
      </w:pPr>
      <w:r>
        <w:rPr>
          <w:rFonts w:eastAsia="等线" w:ascii="Arial" w:cs="Arial" w:hAnsi="Arial"/>
          <w:b w:val="true"/>
          <w:sz w:val="22"/>
        </w:rPr>
        <w:t>睡眠阶段分析</w:t>
      </w:r>
      <w:r>
        <w:rPr>
          <w:rFonts w:eastAsia="等线" w:ascii="Arial" w:cs="Arial" w:hAnsi="Arial"/>
          <w:sz w:val="22"/>
        </w:rPr>
        <w:t>：深睡比例&lt;20%或REM比例&lt;15%视为异常。</w:t>
      </w:r>
    </w:p>
    <w:p>
      <w:pPr>
        <w:numPr>
          <w:numId w:val="60"/>
        </w:numPr>
        <w:spacing w:before="120" w:after="120" w:line="288" w:lineRule="auto"/>
        <w:ind w:left="453"/>
        <w:jc w:val="left"/>
      </w:pPr>
      <w:r>
        <w:rPr>
          <w:rFonts w:eastAsia="等线" w:ascii="Arial" w:cs="Arial" w:hAnsi="Arial"/>
          <w:b w:val="true"/>
          <w:sz w:val="22"/>
        </w:rPr>
        <w:t>与血氧联动</w:t>
      </w:r>
      <w:r>
        <w:rPr>
          <w:rFonts w:eastAsia="等线" w:ascii="Arial" w:cs="Arial" w:hAnsi="Arial"/>
          <w:sz w:val="22"/>
        </w:rPr>
        <w:t>：如果血氧下降指数（ODI）&gt;5次/小时，标记睡眠呼吸暂停风险。</w:t>
      </w:r>
    </w:p>
    <w:p>
      <w:pPr>
        <w:pStyle w:val="4"/>
        <w:spacing w:before="260" w:after="120" w:line="288" w:lineRule="auto"/>
        <w:ind w:left="0"/>
        <w:jc w:val="left"/>
        <w:outlineLvl w:val="3"/>
      </w:pPr>
      <w:bookmarkStart w:name="heading_16" w:id="16"/>
      <w:r>
        <w:rPr>
          <w:rFonts w:eastAsia="等线" w:ascii="Arial" w:cs="Arial" w:hAnsi="Arial"/>
          <w:b w:val="true"/>
          <w:sz w:val="28"/>
        </w:rPr>
        <w:t>功能2.4: 运动量评估</w:t>
      </w:r>
      <w:bookmarkEnd w:id="16"/>
    </w:p>
    <w:p>
      <w:pPr>
        <w:numPr>
          <w:numId w:val="61"/>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：运动不足是风险因素。</w:t>
      </w:r>
    </w:p>
    <w:p>
      <w:pPr>
        <w:numPr>
          <w:numId w:val="62"/>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63"/>
        </w:numPr>
        <w:spacing w:before="120" w:after="120" w:line="288" w:lineRule="auto"/>
        <w:ind w:left="453"/>
        <w:jc w:val="left"/>
      </w:pPr>
      <w:r>
        <w:rPr>
          <w:rFonts w:eastAsia="等线" w:ascii="Arial" w:cs="Arial" w:hAnsi="Arial"/>
          <w:b w:val="true"/>
          <w:sz w:val="22"/>
        </w:rPr>
        <w:t>每日步数评分</w:t>
      </w:r>
      <w:r>
        <w:rPr>
          <w:rFonts w:eastAsia="等线" w:ascii="Arial" w:cs="Arial" w:hAnsi="Arial"/>
          <w:sz w:val="22"/>
        </w:rPr>
        <w:t>：目标10,000步/日（文档11），&lt;5,000步扣分。</w:t>
      </w:r>
    </w:p>
    <w:p>
      <w:pPr>
        <w:numPr>
          <w:numId w:val="64"/>
        </w:numPr>
        <w:spacing w:before="120" w:after="120" w:line="288" w:lineRule="auto"/>
        <w:ind w:left="453"/>
        <w:jc w:val="left"/>
      </w:pPr>
      <w:r>
        <w:rPr>
          <w:rFonts w:eastAsia="等线" w:ascii="Arial" w:cs="Arial" w:hAnsi="Arial"/>
          <w:b w:val="true"/>
          <w:sz w:val="22"/>
        </w:rPr>
        <w:t>活动强度</w:t>
      </w:r>
      <w:r>
        <w:rPr>
          <w:rFonts w:eastAsia="等线" w:ascii="Arial" w:cs="Arial" w:hAnsi="Arial"/>
          <w:sz w:val="22"/>
        </w:rPr>
        <w:t>：每周中高强度运动&lt;150分钟则风险加分。</w:t>
      </w:r>
    </w:p>
    <w:p>
      <w:pPr>
        <w:numPr>
          <w:numId w:val="65"/>
        </w:numPr>
        <w:spacing w:before="120" w:after="120" w:line="288" w:lineRule="auto"/>
        <w:ind w:left="453"/>
        <w:jc w:val="left"/>
      </w:pPr>
      <w:r>
        <w:rPr>
          <w:rFonts w:eastAsia="等线" w:ascii="Arial" w:cs="Arial" w:hAnsi="Arial"/>
          <w:b w:val="true"/>
          <w:sz w:val="22"/>
        </w:rPr>
        <w:t>一致性检查</w:t>
      </w:r>
      <w:r>
        <w:rPr>
          <w:rFonts w:eastAsia="等线" w:ascii="Arial" w:cs="Arial" w:hAnsi="Arial"/>
          <w:sz w:val="22"/>
        </w:rPr>
        <w:t>：计算运动量变异系数，波动大（&gt;30%）可能反映不健康模式。</w:t>
      </w:r>
    </w:p>
    <w:p>
      <w:pPr>
        <w:pStyle w:val="4"/>
        <w:spacing w:before="260" w:after="120" w:line="288" w:lineRule="auto"/>
        <w:ind w:left="0"/>
        <w:jc w:val="left"/>
        <w:outlineLvl w:val="3"/>
      </w:pPr>
      <w:bookmarkStart w:name="heading_17" w:id="17"/>
      <w:r>
        <w:rPr>
          <w:rFonts w:eastAsia="等线" w:ascii="Arial" w:cs="Arial" w:hAnsi="Arial"/>
          <w:b w:val="true"/>
          <w:sz w:val="28"/>
        </w:rPr>
        <w:t>功能2.5: 血氧饱和度评估</w:t>
      </w:r>
      <w:bookmarkEnd w:id="17"/>
    </w:p>
    <w:p>
      <w:pPr>
        <w:numPr>
          <w:numId w:val="66"/>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：血氧异常可能提示呼吸或循环问题。</w:t>
      </w:r>
    </w:p>
    <w:p>
      <w:pPr>
        <w:numPr>
          <w:numId w:val="67"/>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68"/>
        </w:numPr>
        <w:spacing w:before="120" w:after="120" w:line="288" w:lineRule="auto"/>
        <w:ind w:left="453"/>
        <w:jc w:val="left"/>
      </w:pPr>
      <w:r>
        <w:rPr>
          <w:rFonts w:eastAsia="等线" w:ascii="Arial" w:cs="Arial" w:hAnsi="Arial"/>
          <w:b w:val="true"/>
          <w:sz w:val="22"/>
        </w:rPr>
        <w:t>平均值计算</w:t>
      </w:r>
      <w:r>
        <w:rPr>
          <w:rFonts w:eastAsia="等线" w:ascii="Arial" w:cs="Arial" w:hAnsi="Arial"/>
          <w:sz w:val="22"/>
        </w:rPr>
        <w:t>：日间平均血氧&lt;95%则风险加分。</w:t>
      </w:r>
    </w:p>
    <w:p>
      <w:pPr>
        <w:numPr>
          <w:numId w:val="69"/>
        </w:numPr>
        <w:spacing w:before="120" w:after="120" w:line="288" w:lineRule="auto"/>
        <w:ind w:left="453"/>
        <w:jc w:val="left"/>
      </w:pPr>
      <w:r>
        <w:rPr>
          <w:rFonts w:eastAsia="等线" w:ascii="Arial" w:cs="Arial" w:hAnsi="Arial"/>
          <w:b w:val="true"/>
          <w:sz w:val="22"/>
        </w:rPr>
        <w:t>夜间血氧下降</w:t>
      </w:r>
      <w:r>
        <w:rPr>
          <w:rFonts w:eastAsia="等线" w:ascii="Arial" w:cs="Arial" w:hAnsi="Arial"/>
          <w:sz w:val="22"/>
        </w:rPr>
        <w:t>：ODI&gt;5次/小时关联睡眠呼吸暂停（文档11）。</w:t>
      </w:r>
    </w:p>
    <w:p>
      <w:pPr>
        <w:numPr>
          <w:numId w:val="70"/>
        </w:numPr>
        <w:spacing w:before="120" w:after="120" w:line="288" w:lineRule="auto"/>
        <w:ind w:left="453"/>
        <w:jc w:val="left"/>
      </w:pPr>
      <w:r>
        <w:rPr>
          <w:rFonts w:eastAsia="等线" w:ascii="Arial" w:cs="Arial" w:hAnsi="Arial"/>
          <w:b w:val="true"/>
          <w:sz w:val="22"/>
        </w:rPr>
        <w:t>与心率联动</w:t>
      </w:r>
      <w:r>
        <w:rPr>
          <w:rFonts w:eastAsia="等线" w:ascii="Arial" w:cs="Arial" w:hAnsi="Arial"/>
          <w:sz w:val="22"/>
        </w:rPr>
        <w:t>：血氧下降时心率升高，可能反映代偿反应。</w:t>
      </w:r>
    </w:p>
    <w:p>
      <w:pPr>
        <w:pStyle w:val="4"/>
        <w:spacing w:before="260" w:after="120" w:line="288" w:lineRule="auto"/>
        <w:ind w:left="0"/>
        <w:jc w:val="left"/>
        <w:outlineLvl w:val="3"/>
      </w:pPr>
      <w:bookmarkStart w:name="heading_18" w:id="18"/>
      <w:r>
        <w:rPr>
          <w:rFonts w:eastAsia="等线" w:ascii="Arial" w:cs="Arial" w:hAnsi="Arial"/>
          <w:b w:val="true"/>
          <w:sz w:val="28"/>
        </w:rPr>
        <w:t>功能2.6: 综合风险评分</w:t>
      </w:r>
      <w:bookmarkEnd w:id="18"/>
    </w:p>
    <w:p>
      <w:pPr>
        <w:numPr>
          <w:numId w:val="71"/>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：整合所有指标生成总体风险分数。</w:t>
      </w:r>
    </w:p>
    <w:p>
      <w:pPr>
        <w:numPr>
          <w:numId w:val="72"/>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73"/>
        </w:numPr>
        <w:spacing w:before="120" w:after="120" w:line="288" w:lineRule="auto"/>
        <w:ind w:left="453"/>
        <w:jc w:val="left"/>
      </w:pPr>
      <w:r>
        <w:rPr>
          <w:rFonts w:eastAsia="等线" w:ascii="Arial" w:cs="Arial" w:hAnsi="Arial"/>
          <w:b w:val="true"/>
          <w:sz w:val="22"/>
        </w:rPr>
        <w:t>权重分配</w:t>
      </w:r>
      <w:r>
        <w:rPr>
          <w:rFonts w:eastAsia="等线" w:ascii="Arial" w:cs="Arial" w:hAnsi="Arial"/>
          <w:sz w:val="22"/>
        </w:rPr>
        <w:t xml:space="preserve">： </w:t>
      </w:r>
    </w:p>
    <w:p>
      <w:pPr>
        <w:numPr>
          <w:numId w:val="74"/>
        </w:numPr>
        <w:spacing w:before="120" w:after="120" w:line="288" w:lineRule="auto"/>
        <w:ind w:left="907"/>
        <w:jc w:val="left"/>
      </w:pPr>
      <w:r>
        <w:rPr>
          <w:rFonts w:eastAsia="等线" w:ascii="Arial" w:cs="Arial" w:hAnsi="Arial"/>
          <w:sz w:val="22"/>
        </w:rPr>
        <w:t>HRV权重：40%（文档1强调其预测价值）。</w:t>
      </w:r>
    </w:p>
    <w:p>
      <w:pPr>
        <w:numPr>
          <w:numId w:val="75"/>
        </w:numPr>
        <w:spacing w:before="120" w:after="120" w:line="288" w:lineRule="auto"/>
        <w:ind w:left="907"/>
        <w:jc w:val="left"/>
      </w:pPr>
      <w:r>
        <w:rPr>
          <w:rFonts w:eastAsia="等线" w:ascii="Arial" w:cs="Arial" w:hAnsi="Arial"/>
          <w:sz w:val="22"/>
        </w:rPr>
        <w:t>心率权重：25%（文档18）。</w:t>
      </w:r>
    </w:p>
    <w:p>
      <w:pPr>
        <w:numPr>
          <w:numId w:val="76"/>
        </w:numPr>
        <w:spacing w:before="120" w:after="120" w:line="288" w:lineRule="auto"/>
        <w:ind w:left="907"/>
        <w:jc w:val="left"/>
      </w:pPr>
      <w:r>
        <w:rPr>
          <w:rFonts w:eastAsia="等线" w:ascii="Arial" w:cs="Arial" w:hAnsi="Arial"/>
          <w:sz w:val="22"/>
        </w:rPr>
        <w:t>睡眠权重：15%。</w:t>
      </w:r>
    </w:p>
    <w:p>
      <w:pPr>
        <w:numPr>
          <w:numId w:val="77"/>
        </w:numPr>
        <w:spacing w:before="120" w:after="120" w:line="288" w:lineRule="auto"/>
        <w:ind w:left="907"/>
        <w:jc w:val="left"/>
      </w:pPr>
      <w:r>
        <w:rPr>
          <w:rFonts w:eastAsia="等线" w:ascii="Arial" w:cs="Arial" w:hAnsi="Arial"/>
          <w:sz w:val="22"/>
        </w:rPr>
        <w:t>运动权重：10%。</w:t>
      </w:r>
    </w:p>
    <w:p>
      <w:pPr>
        <w:numPr>
          <w:numId w:val="78"/>
        </w:numPr>
        <w:spacing w:before="120" w:after="120" w:line="288" w:lineRule="auto"/>
        <w:ind w:left="907"/>
        <w:jc w:val="left"/>
      </w:pPr>
      <w:r>
        <w:rPr>
          <w:rFonts w:eastAsia="等线" w:ascii="Arial" w:cs="Arial" w:hAnsi="Arial"/>
          <w:sz w:val="22"/>
        </w:rPr>
        <w:t>血氧权重：10%。</w:t>
      </w:r>
    </w:p>
    <w:p>
      <w:pPr>
        <w:numPr>
          <w:numId w:val="79"/>
        </w:numPr>
        <w:spacing w:before="120" w:after="120" w:line="288" w:lineRule="auto"/>
        <w:ind w:left="453"/>
        <w:jc w:val="left"/>
      </w:pPr>
      <w:r>
        <w:rPr>
          <w:rFonts w:eastAsia="等线" w:ascii="Arial" w:cs="Arial" w:hAnsi="Arial"/>
          <w:b w:val="true"/>
          <w:sz w:val="22"/>
        </w:rPr>
        <w:t>模型算法</w:t>
      </w:r>
      <w:r>
        <w:rPr>
          <w:rFonts w:eastAsia="等线" w:ascii="Arial" w:cs="Arial" w:hAnsi="Arial"/>
          <w:sz w:val="22"/>
        </w:rPr>
        <w:t>：使用逻辑回归或随机森林模型，训练数据来自历史索赔数据集（如有）。初始规则基于文档共识。</w:t>
      </w:r>
    </w:p>
    <w:p>
      <w:pPr>
        <w:numPr>
          <w:numId w:val="80"/>
        </w:numPr>
        <w:spacing w:before="120" w:after="120" w:line="288" w:lineRule="auto"/>
        <w:ind w:left="453"/>
        <w:jc w:val="left"/>
      </w:pPr>
      <w:r>
        <w:rPr>
          <w:rFonts w:eastAsia="等线" w:ascii="Arial" w:cs="Arial" w:hAnsi="Arial"/>
          <w:b w:val="true"/>
          <w:sz w:val="22"/>
        </w:rPr>
        <w:t>风险等级输出</w:t>
      </w:r>
      <w:r>
        <w:rPr>
          <w:rFonts w:eastAsia="等线" w:ascii="Arial" w:cs="Arial" w:hAnsi="Arial"/>
          <w:sz w:val="22"/>
        </w:rPr>
        <w:t xml:space="preserve">： </w:t>
      </w:r>
    </w:p>
    <w:p>
      <w:pPr>
        <w:numPr>
          <w:numId w:val="81"/>
        </w:numPr>
        <w:spacing w:before="120" w:after="120" w:line="288" w:lineRule="auto"/>
        <w:ind w:left="907"/>
        <w:jc w:val="left"/>
      </w:pPr>
      <w:r>
        <w:rPr>
          <w:rFonts w:eastAsia="等线" w:ascii="Arial" w:cs="Arial" w:hAnsi="Arial"/>
          <w:sz w:val="22"/>
        </w:rPr>
        <w:t>低风险（0-30分）：保费折扣10-20%。</w:t>
      </w:r>
    </w:p>
    <w:p>
      <w:pPr>
        <w:numPr>
          <w:numId w:val="82"/>
        </w:numPr>
        <w:spacing w:before="120" w:after="120" w:line="288" w:lineRule="auto"/>
        <w:ind w:left="907"/>
        <w:jc w:val="left"/>
      </w:pPr>
      <w:r>
        <w:rPr>
          <w:rFonts w:eastAsia="等线" w:ascii="Arial" w:cs="Arial" w:hAnsi="Arial"/>
          <w:sz w:val="22"/>
        </w:rPr>
        <w:t>中风险（31-70分）：标准保费。</w:t>
      </w:r>
    </w:p>
    <w:p>
      <w:pPr>
        <w:numPr>
          <w:numId w:val="83"/>
        </w:numPr>
        <w:spacing w:before="120" w:after="120" w:line="288" w:lineRule="auto"/>
        <w:ind w:left="907"/>
        <w:jc w:val="left"/>
      </w:pPr>
      <w:r>
        <w:rPr>
          <w:rFonts w:eastAsia="等线" w:ascii="Arial" w:cs="Arial" w:hAnsi="Arial"/>
          <w:sz w:val="22"/>
        </w:rPr>
        <w:t>高风险（71-100分）：保费加费10-30%。</w:t>
      </w:r>
    </w:p>
    <w:p>
      <w:pPr>
        <w:numPr>
          <w:numId w:val="84"/>
        </w:numPr>
        <w:spacing w:before="120" w:after="120" w:line="288" w:lineRule="auto"/>
        <w:ind w:left="453"/>
        <w:jc w:val="left"/>
      </w:pPr>
      <w:r>
        <w:rPr>
          <w:rFonts w:eastAsia="等线" w:ascii="Arial" w:cs="Arial" w:hAnsi="Arial"/>
          <w:b w:val="true"/>
          <w:sz w:val="22"/>
        </w:rPr>
        <w:t>动态更新</w:t>
      </w:r>
      <w:r>
        <w:rPr>
          <w:rFonts w:eastAsia="等线" w:ascii="Arial" w:cs="Arial" w:hAnsi="Arial"/>
          <w:sz w:val="22"/>
        </w:rPr>
        <w:t>：每月重新计算风险分数，支持实时调整保费。</w:t>
      </w:r>
    </w:p>
    <w:p>
      <w:pPr>
        <w:pStyle w:val="3"/>
        <w:spacing w:before="300" w:after="120" w:line="288" w:lineRule="auto"/>
        <w:ind w:left="0"/>
        <w:jc w:val="left"/>
        <w:outlineLvl w:val="2"/>
      </w:pPr>
      <w:bookmarkStart w:name="heading_19" w:id="19"/>
      <w:r>
        <w:rPr>
          <w:rFonts w:eastAsia="等线" w:ascii="Arial" w:cs="Arial" w:hAnsi="Arial"/>
          <w:b w:val="true"/>
          <w:sz w:val="30"/>
        </w:rPr>
        <w:t>功能模块3: 用户界面与报告</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功能3.1: 投保人APP仪表板</w:t>
      </w:r>
      <w:bookmarkEnd w:id="20"/>
    </w:p>
    <w:p>
      <w:pPr>
        <w:numPr>
          <w:numId w:val="85"/>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：投保人查看健康数据和风险分数。</w:t>
      </w:r>
    </w:p>
    <w:p>
      <w:pPr>
        <w:numPr>
          <w:numId w:val="86"/>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87"/>
        </w:numPr>
        <w:spacing w:before="120" w:after="120" w:line="288" w:lineRule="auto"/>
        <w:ind w:left="453"/>
        <w:jc w:val="left"/>
      </w:pPr>
      <w:r>
        <w:rPr>
          <w:rFonts w:eastAsia="等线" w:ascii="Arial" w:cs="Arial" w:hAnsi="Arial"/>
          <w:b w:val="true"/>
          <w:sz w:val="22"/>
        </w:rPr>
        <w:t>数据可视化</w:t>
      </w:r>
      <w:r>
        <w:rPr>
          <w:rFonts w:eastAsia="等线" w:ascii="Arial" w:cs="Arial" w:hAnsi="Arial"/>
          <w:sz w:val="22"/>
        </w:rPr>
        <w:t xml:space="preserve">： </w:t>
      </w:r>
    </w:p>
    <w:p>
      <w:pPr>
        <w:numPr>
          <w:numId w:val="88"/>
        </w:numPr>
        <w:spacing w:before="120" w:after="120" w:line="288" w:lineRule="auto"/>
        <w:ind w:left="907"/>
        <w:jc w:val="left"/>
      </w:pPr>
      <w:r>
        <w:rPr>
          <w:rFonts w:eastAsia="等线" w:ascii="Arial" w:cs="Arial" w:hAnsi="Arial"/>
          <w:sz w:val="22"/>
        </w:rPr>
        <w:t>趋势图：显示HRV、心率、睡眠的30天趋势。</w:t>
      </w:r>
    </w:p>
    <w:p>
      <w:pPr>
        <w:numPr>
          <w:numId w:val="89"/>
        </w:numPr>
        <w:spacing w:before="120" w:after="120" w:line="288" w:lineRule="auto"/>
        <w:ind w:left="907"/>
        <w:jc w:val="left"/>
      </w:pPr>
      <w:r>
        <w:rPr>
          <w:rFonts w:eastAsia="等线" w:ascii="Arial" w:cs="Arial" w:hAnsi="Arial"/>
          <w:sz w:val="22"/>
        </w:rPr>
        <w:t>雷达图：综合展示5项指标得分。</w:t>
      </w:r>
    </w:p>
    <w:p>
      <w:pPr>
        <w:numPr>
          <w:numId w:val="90"/>
        </w:numPr>
        <w:spacing w:before="120" w:after="120" w:line="288" w:lineRule="auto"/>
        <w:ind w:left="453"/>
        <w:jc w:val="left"/>
      </w:pPr>
      <w:r>
        <w:rPr>
          <w:rFonts w:eastAsia="等线" w:ascii="Arial" w:cs="Arial" w:hAnsi="Arial"/>
          <w:b w:val="true"/>
          <w:sz w:val="22"/>
        </w:rPr>
        <w:t>风险洞察</w:t>
      </w:r>
      <w:r>
        <w:rPr>
          <w:rFonts w:eastAsia="等线" w:ascii="Arial" w:cs="Arial" w:hAnsi="Arial"/>
          <w:sz w:val="22"/>
        </w:rPr>
        <w:t xml:space="preserve">： </w:t>
      </w:r>
    </w:p>
    <w:p>
      <w:pPr>
        <w:numPr>
          <w:numId w:val="91"/>
        </w:numPr>
        <w:spacing w:before="120" w:after="120" w:line="288" w:lineRule="auto"/>
        <w:ind w:left="907"/>
        <w:jc w:val="left"/>
      </w:pPr>
      <w:r>
        <w:rPr>
          <w:rFonts w:eastAsia="等线" w:ascii="Arial" w:cs="Arial" w:hAnsi="Arial"/>
          <w:sz w:val="22"/>
        </w:rPr>
        <w:t>个性化提示：如“您的HRV较低，建议减少压力”。</w:t>
      </w:r>
    </w:p>
    <w:p>
      <w:pPr>
        <w:numPr>
          <w:numId w:val="92"/>
        </w:numPr>
        <w:spacing w:before="120" w:after="120" w:line="288" w:lineRule="auto"/>
        <w:ind w:left="907"/>
        <w:jc w:val="left"/>
      </w:pPr>
      <w:r>
        <w:rPr>
          <w:rFonts w:eastAsia="等线" w:ascii="Arial" w:cs="Arial" w:hAnsi="Arial"/>
          <w:sz w:val="22"/>
        </w:rPr>
        <w:t>健康建议：基于风险因素推荐运动或睡眠计划。</w:t>
      </w:r>
    </w:p>
    <w:p>
      <w:pPr>
        <w:numPr>
          <w:numId w:val="93"/>
        </w:numPr>
        <w:spacing w:before="120" w:after="120" w:line="288" w:lineRule="auto"/>
        <w:ind w:left="453"/>
        <w:jc w:val="left"/>
      </w:pPr>
      <w:r>
        <w:rPr>
          <w:rFonts w:eastAsia="等线" w:ascii="Arial" w:cs="Arial" w:hAnsi="Arial"/>
          <w:b w:val="true"/>
          <w:sz w:val="22"/>
        </w:rPr>
        <w:t>保费模拟器</w:t>
      </w:r>
      <w:r>
        <w:rPr>
          <w:rFonts w:eastAsia="等线" w:ascii="Arial" w:cs="Arial" w:hAnsi="Arial"/>
          <w:sz w:val="22"/>
        </w:rPr>
        <w:t>：滑动调整行为，预览保费变化。</w:t>
      </w:r>
    </w:p>
    <w:p>
      <w:pPr>
        <w:pStyle w:val="4"/>
        <w:spacing w:before="260" w:after="120" w:line="288" w:lineRule="auto"/>
        <w:ind w:left="0"/>
        <w:jc w:val="left"/>
        <w:outlineLvl w:val="3"/>
      </w:pPr>
      <w:bookmarkStart w:name="heading_21" w:id="21"/>
      <w:r>
        <w:rPr>
          <w:rFonts w:eastAsia="等线" w:ascii="Arial" w:cs="Arial" w:hAnsi="Arial"/>
          <w:b w:val="true"/>
          <w:sz w:val="28"/>
        </w:rPr>
        <w:t>功能3.2: 保险公司核保平台</w:t>
      </w:r>
      <w:bookmarkEnd w:id="21"/>
    </w:p>
    <w:p>
      <w:pPr>
        <w:numPr>
          <w:numId w:val="94"/>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：核保人员决策支持工具。</w:t>
      </w:r>
    </w:p>
    <w:p>
      <w:pPr>
        <w:numPr>
          <w:numId w:val="95"/>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96"/>
        </w:numPr>
        <w:spacing w:before="120" w:after="120" w:line="288" w:lineRule="auto"/>
        <w:ind w:left="453"/>
        <w:jc w:val="left"/>
      </w:pPr>
      <w:r>
        <w:rPr>
          <w:rFonts w:eastAsia="等线" w:ascii="Arial" w:cs="Arial" w:hAnsi="Arial"/>
          <w:b w:val="true"/>
          <w:sz w:val="22"/>
        </w:rPr>
        <w:t>风险仪表板</w:t>
      </w:r>
      <w:r>
        <w:rPr>
          <w:rFonts w:eastAsia="等线" w:ascii="Arial" w:cs="Arial" w:hAnsi="Arial"/>
          <w:sz w:val="22"/>
        </w:rPr>
        <w:t>：列表显示投保人风险等级、数据质量评分。</w:t>
      </w:r>
    </w:p>
    <w:p>
      <w:pPr>
        <w:numPr>
          <w:numId w:val="97"/>
        </w:numPr>
        <w:spacing w:before="120" w:after="120" w:line="288" w:lineRule="auto"/>
        <w:ind w:left="453"/>
        <w:jc w:val="left"/>
      </w:pPr>
      <w:r>
        <w:rPr>
          <w:rFonts w:eastAsia="等线" w:ascii="Arial" w:cs="Arial" w:hAnsi="Arial"/>
          <w:b w:val="true"/>
          <w:sz w:val="22"/>
        </w:rPr>
        <w:t>详细报告钻取</w:t>
      </w:r>
      <w:r>
        <w:rPr>
          <w:rFonts w:eastAsia="等线" w:ascii="Arial" w:cs="Arial" w:hAnsi="Arial"/>
          <w:sz w:val="22"/>
        </w:rPr>
        <w:t>：可查看原始数据、指标计算过程。</w:t>
      </w:r>
    </w:p>
    <w:p>
      <w:pPr>
        <w:numPr>
          <w:numId w:val="98"/>
        </w:numPr>
        <w:spacing w:before="120" w:after="120" w:line="288" w:lineRule="auto"/>
        <w:ind w:left="453"/>
        <w:jc w:val="left"/>
      </w:pPr>
      <w:r>
        <w:rPr>
          <w:rFonts w:eastAsia="等线" w:ascii="Arial" w:cs="Arial" w:hAnsi="Arial"/>
          <w:b w:val="true"/>
          <w:sz w:val="22"/>
        </w:rPr>
        <w:t>决策日志</w:t>
      </w:r>
      <w:r>
        <w:rPr>
          <w:rFonts w:eastAsia="等线" w:ascii="Arial" w:cs="Arial" w:hAnsi="Arial"/>
          <w:sz w:val="22"/>
        </w:rPr>
        <w:t>：记录每次定价调整的原因，满足合规要求。</w:t>
      </w:r>
    </w:p>
    <w:p>
      <w:pPr>
        <w:pStyle w:val="3"/>
        <w:spacing w:before="300" w:after="120" w:line="288" w:lineRule="auto"/>
        <w:ind w:left="0"/>
        <w:jc w:val="left"/>
        <w:outlineLvl w:val="2"/>
      </w:pPr>
      <w:bookmarkStart w:name="heading_22" w:id="22"/>
      <w:r>
        <w:rPr>
          <w:rFonts w:eastAsia="等线" w:ascii="Arial" w:cs="Arial" w:hAnsi="Arial"/>
          <w:b w:val="true"/>
          <w:sz w:val="30"/>
        </w:rPr>
        <w:t>功能模块4: 隐私与合规</w:t>
      </w:r>
      <w:bookmarkEnd w:id="22"/>
    </w:p>
    <w:p>
      <w:pPr>
        <w:pStyle w:val="4"/>
        <w:spacing w:before="260" w:after="120" w:line="288" w:lineRule="auto"/>
        <w:ind w:left="0"/>
        <w:jc w:val="left"/>
        <w:outlineLvl w:val="3"/>
      </w:pPr>
      <w:bookmarkStart w:name="heading_23" w:id="23"/>
      <w:r>
        <w:rPr>
          <w:rFonts w:eastAsia="等线" w:ascii="Arial" w:cs="Arial" w:hAnsi="Arial"/>
          <w:b w:val="true"/>
          <w:sz w:val="28"/>
        </w:rPr>
        <w:t>功能4.1: 数据安全</w:t>
      </w:r>
      <w:bookmarkEnd w:id="23"/>
    </w:p>
    <w:p>
      <w:pPr>
        <w:numPr>
          <w:numId w:val="99"/>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：保护用户隐私，符合GDPR、HIPAA等法规。</w:t>
      </w:r>
    </w:p>
    <w:p>
      <w:pPr>
        <w:numPr>
          <w:numId w:val="100"/>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101"/>
        </w:numPr>
        <w:spacing w:before="120" w:after="120" w:line="288" w:lineRule="auto"/>
        <w:ind w:left="453"/>
        <w:jc w:val="left"/>
      </w:pPr>
      <w:r>
        <w:rPr>
          <w:rFonts w:eastAsia="等线" w:ascii="Arial" w:cs="Arial" w:hAnsi="Arial"/>
          <w:b w:val="true"/>
          <w:sz w:val="22"/>
        </w:rPr>
        <w:t>加密存储</w:t>
      </w:r>
      <w:r>
        <w:rPr>
          <w:rFonts w:eastAsia="等线" w:ascii="Arial" w:cs="Arial" w:hAnsi="Arial"/>
          <w:sz w:val="22"/>
        </w:rPr>
        <w:t>：数据在传输和静态时使用AES-256加密。</w:t>
      </w:r>
    </w:p>
    <w:p>
      <w:pPr>
        <w:numPr>
          <w:numId w:val="102"/>
        </w:numPr>
        <w:spacing w:before="120" w:after="120" w:line="288" w:lineRule="auto"/>
        <w:ind w:left="453"/>
        <w:jc w:val="left"/>
      </w:pPr>
      <w:r>
        <w:rPr>
          <w:rFonts w:eastAsia="等线" w:ascii="Arial" w:cs="Arial" w:hAnsi="Arial"/>
          <w:b w:val="true"/>
          <w:sz w:val="22"/>
        </w:rPr>
        <w:t>匿名化处理</w:t>
      </w:r>
      <w:r>
        <w:rPr>
          <w:rFonts w:eastAsia="等线" w:ascii="Arial" w:cs="Arial" w:hAnsi="Arial"/>
          <w:sz w:val="22"/>
        </w:rPr>
        <w:t>：用户标识符替换为伪随机ID。</w:t>
      </w:r>
    </w:p>
    <w:p>
      <w:pPr>
        <w:numPr>
          <w:numId w:val="103"/>
        </w:numPr>
        <w:spacing w:before="120" w:after="120" w:line="288" w:lineRule="auto"/>
        <w:ind w:left="453"/>
        <w:jc w:val="left"/>
      </w:pPr>
      <w:r>
        <w:rPr>
          <w:rFonts w:eastAsia="等线" w:ascii="Arial" w:cs="Arial" w:hAnsi="Arial"/>
          <w:b w:val="true"/>
          <w:sz w:val="22"/>
        </w:rPr>
        <w:t>访问控制</w:t>
      </w:r>
      <w:r>
        <w:rPr>
          <w:rFonts w:eastAsia="等线" w:ascii="Arial" w:cs="Arial" w:hAnsi="Arial"/>
          <w:sz w:val="22"/>
        </w:rPr>
        <w:t>：基于角色的权限管理（如核保员仅可访问聚合数据）。</w:t>
      </w:r>
    </w:p>
    <w:p>
      <w:pPr>
        <w:pStyle w:val="4"/>
        <w:spacing w:before="260" w:after="120" w:line="288" w:lineRule="auto"/>
        <w:ind w:left="0"/>
        <w:jc w:val="left"/>
        <w:outlineLvl w:val="3"/>
      </w:pPr>
      <w:bookmarkStart w:name="heading_24" w:id="24"/>
      <w:r>
        <w:rPr>
          <w:rFonts w:eastAsia="等线" w:ascii="Arial" w:cs="Arial" w:hAnsi="Arial"/>
          <w:b w:val="true"/>
          <w:sz w:val="28"/>
        </w:rPr>
        <w:t>功能4.2: 用户同意管理</w:t>
      </w:r>
      <w:bookmarkEnd w:id="24"/>
    </w:p>
    <w:p>
      <w:pPr>
        <w:numPr>
          <w:numId w:val="104"/>
        </w:numPr>
        <w:spacing w:before="120" w:after="120" w:line="288" w:lineRule="auto"/>
        <w:ind w:left="0"/>
        <w:jc w:val="left"/>
      </w:pPr>
      <w:r>
        <w:rPr>
          <w:rFonts w:eastAsia="等线" w:ascii="Arial" w:cs="Arial" w:hAnsi="Arial"/>
          <w:b w:val="true"/>
          <w:sz w:val="22"/>
        </w:rPr>
        <w:t>描述</w:t>
      </w:r>
      <w:r>
        <w:rPr>
          <w:rFonts w:eastAsia="等线" w:ascii="Arial" w:cs="Arial" w:hAnsi="Arial"/>
          <w:sz w:val="22"/>
        </w:rPr>
        <w:t>：确保用户知情同意。</w:t>
      </w:r>
    </w:p>
    <w:p>
      <w:pPr>
        <w:numPr>
          <w:numId w:val="105"/>
        </w:numPr>
        <w:spacing w:before="120" w:after="120" w:line="288" w:lineRule="auto"/>
        <w:ind w:left="0"/>
        <w:jc w:val="left"/>
      </w:pPr>
      <w:r>
        <w:rPr>
          <w:rFonts w:eastAsia="等线" w:ascii="Arial" w:cs="Arial" w:hAnsi="Arial"/>
          <w:b w:val="true"/>
          <w:sz w:val="22"/>
        </w:rPr>
        <w:t>详细功能列表</w:t>
      </w:r>
      <w:r>
        <w:rPr>
          <w:rFonts w:eastAsia="等线" w:ascii="Arial" w:cs="Arial" w:hAnsi="Arial"/>
          <w:sz w:val="22"/>
        </w:rPr>
        <w:t xml:space="preserve">： </w:t>
      </w:r>
    </w:p>
    <w:p>
      <w:pPr>
        <w:numPr>
          <w:numId w:val="106"/>
        </w:numPr>
        <w:spacing w:before="120" w:after="120" w:line="288" w:lineRule="auto"/>
        <w:ind w:left="453"/>
        <w:jc w:val="left"/>
      </w:pPr>
      <w:r>
        <w:rPr>
          <w:rFonts w:eastAsia="等线" w:ascii="Arial" w:cs="Arial" w:hAnsi="Arial"/>
          <w:b w:val="true"/>
          <w:sz w:val="22"/>
        </w:rPr>
        <w:t>同意表单</w:t>
      </w:r>
      <w:r>
        <w:rPr>
          <w:rFonts w:eastAsia="等线" w:ascii="Arial" w:cs="Arial" w:hAnsi="Arial"/>
          <w:sz w:val="22"/>
        </w:rPr>
        <w:t>：明确说明数据使用范围、存储期限。</w:t>
      </w:r>
    </w:p>
    <w:p>
      <w:pPr>
        <w:numPr>
          <w:numId w:val="107"/>
        </w:numPr>
        <w:spacing w:before="120" w:after="120" w:line="288" w:lineRule="auto"/>
        <w:ind w:left="453"/>
        <w:jc w:val="left"/>
      </w:pPr>
      <w:r>
        <w:rPr>
          <w:rFonts w:eastAsia="等线" w:ascii="Arial" w:cs="Arial" w:hAnsi="Arial"/>
          <w:b w:val="true"/>
          <w:sz w:val="22"/>
        </w:rPr>
        <w:t>同意撤回</w:t>
      </w:r>
      <w:r>
        <w:rPr>
          <w:rFonts w:eastAsia="等线" w:ascii="Arial" w:cs="Arial" w:hAnsi="Arial"/>
          <w:sz w:val="22"/>
        </w:rPr>
        <w:t>：用户可随时撤回，系统停止数据采集并删除历史数据。</w:t>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4. </w:t>
      </w:r>
      <w:r>
        <w:rPr>
          <w:rFonts w:eastAsia="等线" w:ascii="Arial" w:cs="Arial" w:hAnsi="Arial"/>
          <w:b w:val="true"/>
          <w:sz w:val="32"/>
        </w:rPr>
        <w:t>非功能需求</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4.1 性能</w:t>
      </w:r>
      <w:bookmarkEnd w:id="26"/>
    </w:p>
    <w:p>
      <w:pPr>
        <w:numPr>
          <w:numId w:val="108"/>
        </w:numPr>
        <w:spacing w:before="120" w:after="120" w:line="288" w:lineRule="auto"/>
        <w:ind w:left="0"/>
        <w:jc w:val="left"/>
      </w:pPr>
      <w:r>
        <w:rPr>
          <w:rFonts w:eastAsia="等线" w:ascii="Arial" w:cs="Arial" w:hAnsi="Arial"/>
          <w:b w:val="true"/>
          <w:sz w:val="22"/>
        </w:rPr>
        <w:t>数据同步延迟</w:t>
      </w:r>
      <w:r>
        <w:rPr>
          <w:rFonts w:eastAsia="等线" w:ascii="Arial" w:cs="Arial" w:hAnsi="Arial"/>
          <w:sz w:val="22"/>
        </w:rPr>
        <w:t>：&lt;5分钟完成每日同步。</w:t>
      </w:r>
    </w:p>
    <w:p>
      <w:pPr>
        <w:numPr>
          <w:numId w:val="109"/>
        </w:numPr>
        <w:spacing w:before="120" w:after="120" w:line="288" w:lineRule="auto"/>
        <w:ind w:left="0"/>
        <w:jc w:val="left"/>
      </w:pPr>
      <w:r>
        <w:rPr>
          <w:rFonts w:eastAsia="等线" w:ascii="Arial" w:cs="Arial" w:hAnsi="Arial"/>
          <w:b w:val="true"/>
          <w:sz w:val="22"/>
        </w:rPr>
        <w:t>风险计算延迟</w:t>
      </w:r>
      <w:r>
        <w:rPr>
          <w:rFonts w:eastAsia="等线" w:ascii="Arial" w:cs="Arial" w:hAnsi="Arial"/>
          <w:sz w:val="22"/>
        </w:rPr>
        <w:t>：实时计算，响应时间&lt;10秒。</w:t>
      </w:r>
    </w:p>
    <w:p>
      <w:pPr>
        <w:numPr>
          <w:numId w:val="110"/>
        </w:numPr>
        <w:spacing w:before="120" w:after="120" w:line="288" w:lineRule="auto"/>
        <w:ind w:left="0"/>
        <w:jc w:val="left"/>
      </w:pPr>
      <w:r>
        <w:rPr>
          <w:rFonts w:eastAsia="等线" w:ascii="Arial" w:cs="Arial" w:hAnsi="Arial"/>
          <w:b w:val="true"/>
          <w:sz w:val="22"/>
        </w:rPr>
        <w:t>系统可用性</w:t>
      </w:r>
      <w:r>
        <w:rPr>
          <w:rFonts w:eastAsia="等线" w:ascii="Arial" w:cs="Arial" w:hAnsi="Arial"/>
          <w:sz w:val="22"/>
        </w:rPr>
        <w:t>：99.9%正常运行时间。</w:t>
      </w:r>
    </w:p>
    <w:p>
      <w:pPr>
        <w:pStyle w:val="3"/>
        <w:spacing w:before="300" w:after="120" w:line="288" w:lineRule="auto"/>
        <w:ind w:left="0"/>
        <w:jc w:val="left"/>
        <w:outlineLvl w:val="2"/>
      </w:pPr>
      <w:bookmarkStart w:name="heading_27" w:id="27"/>
      <w:r>
        <w:rPr>
          <w:rFonts w:eastAsia="等线" w:ascii="Arial" w:cs="Arial" w:hAnsi="Arial"/>
          <w:b w:val="true"/>
          <w:sz w:val="30"/>
        </w:rPr>
        <w:t>4.2 可扩展性</w:t>
      </w:r>
      <w:bookmarkEnd w:id="27"/>
    </w:p>
    <w:p>
      <w:pPr>
        <w:numPr>
          <w:numId w:val="111"/>
        </w:numPr>
        <w:spacing w:before="120" w:after="120" w:line="288" w:lineRule="auto"/>
        <w:ind w:left="0"/>
        <w:jc w:val="left"/>
      </w:pPr>
      <w:r>
        <w:rPr>
          <w:rFonts w:eastAsia="等线" w:ascii="Arial" w:cs="Arial" w:hAnsi="Arial"/>
          <w:b w:val="true"/>
          <w:sz w:val="22"/>
        </w:rPr>
        <w:t>用户规模</w:t>
      </w:r>
      <w:r>
        <w:rPr>
          <w:rFonts w:eastAsia="等线" w:ascii="Arial" w:cs="Arial" w:hAnsi="Arial"/>
          <w:sz w:val="22"/>
        </w:rPr>
        <w:t>：支持百万级用户并发。</w:t>
      </w:r>
    </w:p>
    <w:p>
      <w:pPr>
        <w:numPr>
          <w:numId w:val="112"/>
        </w:numPr>
        <w:spacing w:before="120" w:after="120" w:line="288" w:lineRule="auto"/>
        <w:ind w:left="0"/>
        <w:jc w:val="left"/>
      </w:pPr>
      <w:r>
        <w:rPr>
          <w:rFonts w:eastAsia="等线" w:ascii="Arial" w:cs="Arial" w:hAnsi="Arial"/>
          <w:b w:val="true"/>
          <w:sz w:val="22"/>
        </w:rPr>
        <w:t>数据存储</w:t>
      </w:r>
      <w:r>
        <w:rPr>
          <w:rFonts w:eastAsia="等线" w:ascii="Arial" w:cs="Arial" w:hAnsi="Arial"/>
          <w:sz w:val="22"/>
        </w:rPr>
        <w:t>：使用云数据湖架构，支持PB级数据。</w:t>
      </w:r>
    </w:p>
    <w:p>
      <w:pPr>
        <w:pStyle w:val="3"/>
        <w:spacing w:before="300" w:after="120" w:line="288" w:lineRule="auto"/>
        <w:ind w:left="0"/>
        <w:jc w:val="left"/>
        <w:outlineLvl w:val="2"/>
      </w:pPr>
      <w:bookmarkStart w:name="heading_28" w:id="28"/>
      <w:r>
        <w:rPr>
          <w:rFonts w:eastAsia="等线" w:ascii="Arial" w:cs="Arial" w:hAnsi="Arial"/>
          <w:b w:val="true"/>
          <w:sz w:val="30"/>
        </w:rPr>
        <w:t>4.3 合规性</w:t>
      </w:r>
      <w:bookmarkEnd w:id="28"/>
    </w:p>
    <w:p>
      <w:pPr>
        <w:numPr>
          <w:numId w:val="113"/>
        </w:numPr>
        <w:spacing w:before="120" w:after="120" w:line="288" w:lineRule="auto"/>
        <w:ind w:left="0"/>
        <w:jc w:val="left"/>
      </w:pPr>
      <w:r>
        <w:rPr>
          <w:rFonts w:eastAsia="等线" w:ascii="Arial" w:cs="Arial" w:hAnsi="Arial"/>
          <w:b w:val="true"/>
          <w:sz w:val="22"/>
        </w:rPr>
        <w:t>保险监管</w:t>
      </w:r>
      <w:r>
        <w:rPr>
          <w:rFonts w:eastAsia="等线" w:ascii="Arial" w:cs="Arial" w:hAnsi="Arial"/>
          <w:sz w:val="22"/>
        </w:rPr>
        <w:t>：符合各地保险法规，如中国的《人身保险产品定价规则》。</w:t>
      </w:r>
    </w:p>
    <w:p>
      <w:pPr>
        <w:numPr>
          <w:numId w:val="114"/>
        </w:numPr>
        <w:spacing w:before="120" w:after="120" w:line="288" w:lineRule="auto"/>
        <w:ind w:left="0"/>
        <w:jc w:val="left"/>
      </w:pPr>
      <w:r>
        <w:rPr>
          <w:rFonts w:eastAsia="等线" w:ascii="Arial" w:cs="Arial" w:hAnsi="Arial"/>
          <w:b w:val="true"/>
          <w:sz w:val="22"/>
        </w:rPr>
        <w:t>数据伦理</w:t>
      </w:r>
      <w:r>
        <w:rPr>
          <w:rFonts w:eastAsia="等线" w:ascii="Arial" w:cs="Arial" w:hAnsi="Arial"/>
          <w:sz w:val="22"/>
        </w:rPr>
        <w:t>：避免歧视性定价，风险模型需可解释。</w:t>
      </w:r>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5. </w:t>
      </w:r>
      <w:r>
        <w:rPr>
          <w:rFonts w:eastAsia="等线" w:ascii="Arial" w:cs="Arial" w:hAnsi="Arial"/>
          <w:b w:val="true"/>
          <w:sz w:val="32"/>
        </w:rPr>
        <w:t>数据需求</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5.1 数据来源</w:t>
      </w:r>
      <w:bookmarkEnd w:id="30"/>
    </w:p>
    <w:p>
      <w:pPr>
        <w:numPr>
          <w:numId w:val="115"/>
        </w:numPr>
        <w:spacing w:before="120" w:after="120" w:line="288" w:lineRule="auto"/>
        <w:ind w:left="0"/>
        <w:jc w:val="left"/>
      </w:pPr>
      <w:r>
        <w:rPr>
          <w:rFonts w:eastAsia="等线" w:ascii="Arial" w:cs="Arial" w:hAnsi="Arial"/>
          <w:b w:val="true"/>
          <w:sz w:val="22"/>
        </w:rPr>
        <w:t>主要来源</w:t>
      </w:r>
      <w:r>
        <w:rPr>
          <w:rFonts w:eastAsia="等线" w:ascii="Arial" w:cs="Arial" w:hAnsi="Arial"/>
          <w:sz w:val="22"/>
        </w:rPr>
        <w:t>：可穿戴设备API（Apple HealthKit、Google Fit等）。</w:t>
      </w:r>
    </w:p>
    <w:p>
      <w:pPr>
        <w:numPr>
          <w:numId w:val="116"/>
        </w:numPr>
        <w:spacing w:before="120" w:after="120" w:line="288" w:lineRule="auto"/>
        <w:ind w:left="0"/>
        <w:jc w:val="left"/>
      </w:pPr>
      <w:r>
        <w:rPr>
          <w:rFonts w:eastAsia="等线" w:ascii="Arial" w:cs="Arial" w:hAnsi="Arial"/>
          <w:b w:val="true"/>
          <w:sz w:val="22"/>
        </w:rPr>
        <w:t>辅助来源</w:t>
      </w:r>
      <w:r>
        <w:rPr>
          <w:rFonts w:eastAsia="等线" w:ascii="Arial" w:cs="Arial" w:hAnsi="Arial"/>
          <w:sz w:val="22"/>
        </w:rPr>
        <w:t>：用户手动输入（如体重、血压）。</w:t>
      </w:r>
    </w:p>
    <w:p>
      <w:pPr>
        <w:pStyle w:val="3"/>
        <w:spacing w:before="300" w:after="120" w:line="288" w:lineRule="auto"/>
        <w:ind w:left="0"/>
        <w:jc w:val="left"/>
        <w:outlineLvl w:val="2"/>
      </w:pPr>
      <w:bookmarkStart w:name="heading_31" w:id="31"/>
      <w:r>
        <w:rPr>
          <w:rFonts w:eastAsia="等线" w:ascii="Arial" w:cs="Arial" w:hAnsi="Arial"/>
          <w:b w:val="true"/>
          <w:sz w:val="30"/>
        </w:rPr>
        <w:t>5.2 数据频率</w:t>
      </w:r>
      <w:bookmarkEnd w:id="31"/>
    </w:p>
    <w:p>
      <w:pPr>
        <w:numPr>
          <w:numId w:val="117"/>
        </w:numPr>
        <w:spacing w:before="120" w:after="120" w:line="288" w:lineRule="auto"/>
        <w:ind w:left="0"/>
        <w:jc w:val="left"/>
      </w:pPr>
      <w:r>
        <w:rPr>
          <w:rFonts w:eastAsia="等线" w:ascii="Arial" w:cs="Arial" w:hAnsi="Arial"/>
          <w:b w:val="true"/>
          <w:sz w:val="22"/>
        </w:rPr>
        <w:t>最小频率</w:t>
      </w:r>
      <w:r>
        <w:rPr>
          <w:rFonts w:eastAsia="等线" w:ascii="Arial" w:cs="Arial" w:hAnsi="Arial"/>
          <w:sz w:val="22"/>
        </w:rPr>
        <w:t>：每日同步一次。</w:t>
      </w:r>
    </w:p>
    <w:p>
      <w:pPr>
        <w:numPr>
          <w:numId w:val="118"/>
        </w:numPr>
        <w:spacing w:before="120" w:after="120" w:line="288" w:lineRule="auto"/>
        <w:ind w:left="0"/>
        <w:jc w:val="left"/>
      </w:pPr>
      <w:r>
        <w:rPr>
          <w:rFonts w:eastAsia="等线" w:ascii="Arial" w:cs="Arial" w:hAnsi="Arial"/>
          <w:b w:val="true"/>
          <w:sz w:val="22"/>
        </w:rPr>
        <w:t>理想频率</w:t>
      </w:r>
      <w:r>
        <w:rPr>
          <w:rFonts w:eastAsia="等线" w:ascii="Arial" w:cs="Arial" w:hAnsi="Arial"/>
          <w:sz w:val="22"/>
        </w:rPr>
        <w:t>：实时同步（如心率每5分钟一次）。</w:t>
      </w:r>
    </w:p>
    <w:p>
      <w:pPr>
        <w:pStyle w:val="3"/>
        <w:spacing w:before="300" w:after="120" w:line="288" w:lineRule="auto"/>
        <w:ind w:left="0"/>
        <w:jc w:val="left"/>
        <w:outlineLvl w:val="2"/>
      </w:pPr>
      <w:bookmarkStart w:name="heading_32" w:id="32"/>
      <w:r>
        <w:rPr>
          <w:rFonts w:eastAsia="等线" w:ascii="Arial" w:cs="Arial" w:hAnsi="Arial"/>
          <w:b w:val="true"/>
          <w:sz w:val="30"/>
        </w:rPr>
        <w:t>5.3 数据存储</w:t>
      </w:r>
      <w:bookmarkEnd w:id="32"/>
    </w:p>
    <w:p>
      <w:pPr>
        <w:numPr>
          <w:numId w:val="119"/>
        </w:numPr>
        <w:spacing w:before="120" w:after="120" w:line="288" w:lineRule="auto"/>
        <w:ind w:left="0"/>
        <w:jc w:val="left"/>
      </w:pPr>
      <w:r>
        <w:rPr>
          <w:rFonts w:eastAsia="等线" w:ascii="Arial" w:cs="Arial" w:hAnsi="Arial"/>
          <w:b w:val="true"/>
          <w:sz w:val="22"/>
        </w:rPr>
        <w:t>原始数据</w:t>
      </w:r>
      <w:r>
        <w:rPr>
          <w:rFonts w:eastAsia="等线" w:ascii="Arial" w:cs="Arial" w:hAnsi="Arial"/>
          <w:sz w:val="22"/>
        </w:rPr>
        <w:t>：保留24个月以供审计。</w:t>
      </w:r>
    </w:p>
    <w:p>
      <w:pPr>
        <w:numPr>
          <w:numId w:val="120"/>
        </w:numPr>
        <w:spacing w:before="120" w:after="120" w:line="288" w:lineRule="auto"/>
        <w:ind w:left="0"/>
        <w:jc w:val="left"/>
      </w:pPr>
      <w:r>
        <w:rPr>
          <w:rFonts w:eastAsia="等线" w:ascii="Arial" w:cs="Arial" w:hAnsi="Arial"/>
          <w:b w:val="true"/>
          <w:sz w:val="22"/>
        </w:rPr>
        <w:t>聚合数据</w:t>
      </w:r>
      <w:r>
        <w:rPr>
          <w:rFonts w:eastAsia="等线" w:ascii="Arial" w:cs="Arial" w:hAnsi="Arial"/>
          <w:sz w:val="22"/>
        </w:rPr>
        <w:t>：长期存储用于模型优化。</w:t>
      </w: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6. </w:t>
      </w:r>
      <w:r>
        <w:rPr>
          <w:rFonts w:eastAsia="等线" w:ascii="Arial" w:cs="Arial" w:hAnsi="Arial"/>
          <w:b w:val="true"/>
          <w:sz w:val="32"/>
        </w:rPr>
        <w:t>假设与约束</w:t>
      </w:r>
      <w:bookmarkEnd w:id="33"/>
    </w:p>
    <w:p>
      <w:pPr>
        <w:pStyle w:val="3"/>
        <w:spacing w:before="300" w:after="120" w:line="288" w:lineRule="auto"/>
        <w:ind w:left="0"/>
        <w:jc w:val="left"/>
        <w:outlineLvl w:val="2"/>
      </w:pPr>
      <w:bookmarkStart w:name="heading_34" w:id="34"/>
      <w:r>
        <w:rPr>
          <w:rFonts w:eastAsia="等线" w:ascii="Arial" w:cs="Arial" w:hAnsi="Arial"/>
          <w:b w:val="true"/>
          <w:sz w:val="30"/>
        </w:rPr>
        <w:t>6.1 假设</w:t>
      </w:r>
      <w:bookmarkEnd w:id="34"/>
    </w:p>
    <w:p>
      <w:pPr>
        <w:numPr>
          <w:numId w:val="121"/>
        </w:numPr>
        <w:spacing w:before="120" w:after="120" w:line="288" w:lineRule="auto"/>
        <w:ind w:left="0"/>
        <w:jc w:val="left"/>
      </w:pPr>
      <w:r>
        <w:rPr>
          <w:rFonts w:eastAsia="等线" w:ascii="Arial" w:cs="Arial" w:hAnsi="Arial"/>
          <w:sz w:val="22"/>
        </w:rPr>
        <w:t>用户拥有兼容的可穿戴设备，且数据精度可靠。</w:t>
      </w:r>
    </w:p>
    <w:p>
      <w:pPr>
        <w:numPr>
          <w:numId w:val="122"/>
        </w:numPr>
        <w:spacing w:before="120" w:after="120" w:line="288" w:lineRule="auto"/>
        <w:ind w:left="0"/>
        <w:jc w:val="left"/>
      </w:pPr>
      <w:r>
        <w:rPr>
          <w:rFonts w:eastAsia="等线" w:ascii="Arial" w:cs="Arial" w:hAnsi="Arial"/>
          <w:sz w:val="22"/>
        </w:rPr>
        <w:t>用户愿意长期分享健康数据以换取保费优惠。</w:t>
      </w:r>
    </w:p>
    <w:p>
      <w:pPr>
        <w:pStyle w:val="3"/>
        <w:spacing w:before="300" w:after="120" w:line="288" w:lineRule="auto"/>
        <w:ind w:left="0"/>
        <w:jc w:val="left"/>
        <w:outlineLvl w:val="2"/>
      </w:pPr>
      <w:bookmarkStart w:name="heading_35" w:id="35"/>
      <w:r>
        <w:rPr>
          <w:rFonts w:eastAsia="等线" w:ascii="Arial" w:cs="Arial" w:hAnsi="Arial"/>
          <w:b w:val="true"/>
          <w:sz w:val="30"/>
        </w:rPr>
        <w:t>6.2 约束</w:t>
      </w:r>
      <w:bookmarkEnd w:id="35"/>
    </w:p>
    <w:p>
      <w:pPr>
        <w:numPr>
          <w:numId w:val="123"/>
        </w:numPr>
        <w:spacing w:before="120" w:after="120" w:line="288" w:lineRule="auto"/>
        <w:ind w:left="0"/>
        <w:jc w:val="left"/>
      </w:pPr>
      <w:r>
        <w:rPr>
          <w:rFonts w:eastAsia="等线" w:ascii="Arial" w:cs="Arial" w:hAnsi="Arial"/>
          <w:sz w:val="22"/>
        </w:rPr>
        <w:t>设备数据精度差异可能影响模型准确性，需定期校准。</w:t>
      </w:r>
    </w:p>
    <w:p>
      <w:pPr>
        <w:numPr>
          <w:numId w:val="124"/>
        </w:numPr>
        <w:spacing w:before="120" w:after="120" w:line="288" w:lineRule="auto"/>
        <w:ind w:left="0"/>
        <w:jc w:val="left"/>
      </w:pPr>
      <w:r>
        <w:rPr>
          <w:rFonts w:eastAsia="等线" w:ascii="Arial" w:cs="Arial" w:hAnsi="Arial"/>
          <w:sz w:val="22"/>
        </w:rPr>
        <w:t>保险法规可能限制基于健康数据的定价幅度。</w:t>
      </w: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7. </w:t>
      </w:r>
      <w:r>
        <w:rPr>
          <w:rFonts w:eastAsia="等线" w:ascii="Arial" w:cs="Arial" w:hAnsi="Arial"/>
          <w:b w:val="true"/>
          <w:sz w:val="32"/>
        </w:rPr>
        <w:t>成功指标</w:t>
      </w:r>
      <w:bookmarkEnd w:id="36"/>
    </w:p>
    <w:p>
      <w:pPr>
        <w:pStyle w:val="3"/>
        <w:spacing w:before="300" w:after="120" w:line="288" w:lineRule="auto"/>
        <w:ind w:left="0"/>
        <w:jc w:val="left"/>
        <w:outlineLvl w:val="2"/>
      </w:pPr>
      <w:bookmarkStart w:name="heading_37" w:id="37"/>
      <w:r>
        <w:rPr>
          <w:rFonts w:eastAsia="等线" w:ascii="Arial" w:cs="Arial" w:hAnsi="Arial"/>
          <w:b w:val="true"/>
          <w:sz w:val="30"/>
        </w:rPr>
        <w:t>7.1 业务指标</w:t>
      </w:r>
      <w:bookmarkEnd w:id="37"/>
    </w:p>
    <w:p>
      <w:pPr>
        <w:numPr>
          <w:numId w:val="125"/>
        </w:numPr>
        <w:spacing w:before="120" w:after="120" w:line="288" w:lineRule="auto"/>
        <w:ind w:left="0"/>
        <w:jc w:val="left"/>
      </w:pPr>
      <w:r>
        <w:rPr>
          <w:rFonts w:eastAsia="等线" w:ascii="Arial" w:cs="Arial" w:hAnsi="Arial"/>
          <w:b w:val="true"/>
          <w:sz w:val="22"/>
        </w:rPr>
        <w:t>风险预测准确率</w:t>
      </w:r>
      <w:r>
        <w:rPr>
          <w:rFonts w:eastAsia="等线" w:ascii="Arial" w:cs="Arial" w:hAnsi="Arial"/>
          <w:sz w:val="22"/>
        </w:rPr>
        <w:t>：模型对索赔事件的预测AUC &gt; 0.8。</w:t>
      </w:r>
    </w:p>
    <w:p>
      <w:pPr>
        <w:numPr>
          <w:numId w:val="126"/>
        </w:numPr>
        <w:spacing w:before="120" w:after="120" w:line="288" w:lineRule="auto"/>
        <w:ind w:left="0"/>
        <w:jc w:val="left"/>
      </w:pPr>
      <w:r>
        <w:rPr>
          <w:rFonts w:eastAsia="等线" w:ascii="Arial" w:cs="Arial" w:hAnsi="Arial"/>
          <w:b w:val="true"/>
          <w:sz w:val="22"/>
        </w:rPr>
        <w:t>用户参与率</w:t>
      </w:r>
      <w:r>
        <w:rPr>
          <w:rFonts w:eastAsia="等线" w:ascii="Arial" w:cs="Arial" w:hAnsi="Arial"/>
          <w:sz w:val="22"/>
        </w:rPr>
        <w:t>：&gt;60%投保人同意分享数据。</w:t>
      </w:r>
    </w:p>
    <w:p>
      <w:pPr>
        <w:numPr>
          <w:numId w:val="127"/>
        </w:numPr>
        <w:spacing w:before="120" w:after="120" w:line="288" w:lineRule="auto"/>
        <w:ind w:left="0"/>
        <w:jc w:val="left"/>
      </w:pPr>
      <w:r>
        <w:rPr>
          <w:rFonts w:eastAsia="等线" w:ascii="Arial" w:cs="Arial" w:hAnsi="Arial"/>
          <w:b w:val="true"/>
          <w:sz w:val="22"/>
        </w:rPr>
        <w:t>索赔率降低</w:t>
      </w:r>
      <w:r>
        <w:rPr>
          <w:rFonts w:eastAsia="等线" w:ascii="Arial" w:cs="Arial" w:hAnsi="Arial"/>
          <w:sz w:val="22"/>
        </w:rPr>
        <w:t>：使用该模型后，索赔率下降5-10%。</w:t>
      </w:r>
    </w:p>
    <w:p>
      <w:pPr>
        <w:pStyle w:val="3"/>
        <w:spacing w:before="300" w:after="120" w:line="288" w:lineRule="auto"/>
        <w:ind w:left="0"/>
        <w:jc w:val="left"/>
        <w:outlineLvl w:val="2"/>
      </w:pPr>
      <w:bookmarkStart w:name="heading_38" w:id="38"/>
      <w:r>
        <w:rPr>
          <w:rFonts w:eastAsia="等线" w:ascii="Arial" w:cs="Arial" w:hAnsi="Arial"/>
          <w:b w:val="true"/>
          <w:sz w:val="30"/>
        </w:rPr>
        <w:t>7.2 技术指标</w:t>
      </w:r>
      <w:bookmarkEnd w:id="38"/>
    </w:p>
    <w:p>
      <w:pPr>
        <w:numPr>
          <w:numId w:val="128"/>
        </w:numPr>
        <w:spacing w:before="120" w:after="120" w:line="288" w:lineRule="auto"/>
        <w:ind w:left="0"/>
        <w:jc w:val="left"/>
      </w:pPr>
      <w:r>
        <w:rPr>
          <w:rFonts w:eastAsia="等线" w:ascii="Arial" w:cs="Arial" w:hAnsi="Arial"/>
          <w:b w:val="true"/>
          <w:sz w:val="22"/>
        </w:rPr>
        <w:t>系统延迟</w:t>
      </w:r>
      <w:r>
        <w:rPr>
          <w:rFonts w:eastAsia="等线" w:ascii="Arial" w:cs="Arial" w:hAnsi="Arial"/>
          <w:sz w:val="22"/>
        </w:rPr>
        <w:t>：数据同步和计算延迟达标率&gt;95%。</w:t>
      </w:r>
    </w:p>
    <w:p>
      <w:pPr>
        <w:numPr>
          <w:numId w:val="129"/>
        </w:numPr>
        <w:spacing w:before="120" w:after="120" w:line="288" w:lineRule="auto"/>
        <w:ind w:left="0"/>
        <w:jc w:val="left"/>
      </w:pPr>
      <w:r>
        <w:rPr>
          <w:rFonts w:eastAsia="等线" w:ascii="Arial" w:cs="Arial" w:hAnsi="Arial"/>
          <w:b w:val="true"/>
          <w:sz w:val="22"/>
        </w:rPr>
        <w:t>用户满意度</w:t>
      </w:r>
      <w:r>
        <w:rPr>
          <w:rFonts w:eastAsia="等线" w:ascii="Arial" w:cs="Arial" w:hAnsi="Arial"/>
          <w:sz w:val="22"/>
        </w:rPr>
        <w:t>：APP评分&gt;4.5星。</w:t>
      </w: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8. </w:t>
      </w:r>
      <w:r>
        <w:rPr>
          <w:rFonts w:eastAsia="等线" w:ascii="Arial" w:cs="Arial" w:hAnsi="Arial"/>
          <w:b w:val="true"/>
          <w:sz w:val="32"/>
        </w:rPr>
        <w:t>附录</w:t>
      </w:r>
      <w:bookmarkEnd w:id="39"/>
    </w:p>
    <w:p>
      <w:pPr>
        <w:pStyle w:val="3"/>
        <w:spacing w:before="300" w:after="120" w:line="288" w:lineRule="auto"/>
        <w:ind w:left="0"/>
        <w:jc w:val="left"/>
        <w:outlineLvl w:val="2"/>
      </w:pPr>
      <w:bookmarkStart w:name="heading_40" w:id="40"/>
      <w:r>
        <w:rPr>
          <w:rFonts w:eastAsia="等线" w:ascii="Arial" w:cs="Arial" w:hAnsi="Arial"/>
          <w:b w:val="true"/>
          <w:sz w:val="30"/>
        </w:rPr>
        <w:t>8.1 共识文档引用摘要</w:t>
      </w:r>
      <w:bookmarkEnd w:id="40"/>
    </w:p>
    <w:p>
      <w:pPr>
        <w:numPr>
          <w:numId w:val="130"/>
        </w:numPr>
        <w:spacing w:before="120" w:after="120" w:line="288" w:lineRule="auto"/>
        <w:ind w:left="0"/>
        <w:jc w:val="left"/>
      </w:pPr>
      <w:r>
        <w:rPr>
          <w:rFonts w:eastAsia="等线" w:ascii="Arial" w:cs="Arial" w:hAnsi="Arial"/>
          <w:b w:val="true"/>
          <w:sz w:val="22"/>
        </w:rPr>
        <w:t>文档1</w:t>
      </w:r>
      <w:r>
        <w:rPr>
          <w:rFonts w:eastAsia="等线" w:ascii="Arial" w:cs="Arial" w:hAnsi="Arial"/>
          <w:sz w:val="22"/>
        </w:rPr>
        <w:t>：HRV标记物（如AC、DC）是心力衰竭患者死亡率的独立预测因子（HR per SD 1.53 for AC）。1</w:t>
      </w:r>
    </w:p>
    <w:p>
      <w:pPr>
        <w:numPr>
          <w:numId w:val="131"/>
        </w:numPr>
        <w:spacing w:before="120" w:after="120" w:line="288" w:lineRule="auto"/>
        <w:ind w:left="0"/>
        <w:jc w:val="left"/>
      </w:pPr>
      <w:r>
        <w:rPr>
          <w:rFonts w:eastAsia="等线" w:ascii="Arial" w:cs="Arial" w:hAnsi="Arial"/>
          <w:b w:val="true"/>
          <w:sz w:val="22"/>
        </w:rPr>
        <w:t>文档18</w:t>
      </w:r>
      <w:r>
        <w:rPr>
          <w:rFonts w:eastAsia="等线" w:ascii="Arial" w:cs="Arial" w:hAnsi="Arial"/>
          <w:sz w:val="22"/>
        </w:rPr>
        <w:t>：静息心率&gt;60次/分钟与心力衰竭风险增加相关（HR 1.48 for top quartile vs. bottom）。19</w:t>
      </w:r>
    </w:p>
    <w:p>
      <w:pPr>
        <w:pStyle w:val="3"/>
        <w:spacing w:before="300" w:after="120" w:line="288" w:lineRule="auto"/>
        <w:ind w:left="0"/>
        <w:jc w:val="left"/>
        <w:outlineLvl w:val="2"/>
      </w:pPr>
      <w:bookmarkStart w:name="heading_41" w:id="41"/>
      <w:r>
        <w:rPr>
          <w:rFonts w:eastAsia="等线" w:ascii="Arial" w:cs="Arial" w:hAnsi="Arial"/>
          <w:b w:val="true"/>
          <w:sz w:val="30"/>
        </w:rPr>
        <w:t>8.2 术语表</w:t>
      </w:r>
      <w:bookmarkEnd w:id="41"/>
    </w:p>
    <w:p>
      <w:pPr>
        <w:numPr>
          <w:numId w:val="132"/>
        </w:numPr>
        <w:spacing w:before="120" w:after="120" w:line="288" w:lineRule="auto"/>
        <w:ind w:left="0"/>
        <w:jc w:val="left"/>
      </w:pPr>
      <w:r>
        <w:rPr>
          <w:rFonts w:eastAsia="等线" w:ascii="Arial" w:cs="Arial" w:hAnsi="Arial"/>
          <w:b w:val="true"/>
          <w:sz w:val="22"/>
        </w:rPr>
        <w:t>HRV</w:t>
      </w:r>
      <w:r>
        <w:rPr>
          <w:rFonts w:eastAsia="等线" w:ascii="Arial" w:cs="Arial" w:hAnsi="Arial"/>
          <w:sz w:val="22"/>
        </w:rPr>
        <w:t>：心率变异性，反映自主神经功能。5</w:t>
      </w:r>
    </w:p>
    <w:p>
      <w:pPr>
        <w:numPr>
          <w:numId w:val="133"/>
        </w:numPr>
        <w:spacing w:before="120" w:after="120" w:line="288" w:lineRule="auto"/>
        <w:ind w:left="0"/>
        <w:jc w:val="left"/>
      </w:pPr>
      <w:r>
        <w:rPr>
          <w:rFonts w:eastAsia="等线" w:ascii="Arial" w:cs="Arial" w:hAnsi="Arial"/>
          <w:b w:val="true"/>
          <w:sz w:val="22"/>
        </w:rPr>
        <w:t>SDNN</w:t>
      </w:r>
      <w:r>
        <w:rPr>
          <w:rFonts w:eastAsia="等线" w:ascii="Arial" w:cs="Arial" w:hAnsi="Arial"/>
          <w:sz w:val="22"/>
        </w:rPr>
        <w:t>：正常窦性R-R间期的标准差，HRV时域指标。9</w:t>
      </w:r>
    </w:p>
    <w:p>
      <w:pPr>
        <w:spacing w:before="120" w:after="120" w:line="288" w:lineRule="auto"/>
        <w:ind w:left="0"/>
        <w:jc w:val="left"/>
      </w:pPr>
      <w:r>
        <w:rPr>
          <w:rFonts w:eastAsia="等线" w:ascii="Arial" w:cs="Arial" w:hAnsi="Arial"/>
          <w:sz w:val="22"/>
        </w:rPr>
        <w:t>本PRD基于提供的共识文档，确保所有功能都有临床证据支撑。实际开发中需与保险公司和医疗专家进一步验证模型参数。</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305321">
    <w:lvl>
      <w:numFmt w:val="bullet"/>
      <w:suff w:val="tab"/>
      <w:lvlText w:val="•"/>
      <w:rPr>
        <w:color w:val="3370ff"/>
      </w:rPr>
    </w:lvl>
  </w:abstractNum>
  <w:abstractNum w:abstractNumId="2305322">
    <w:lvl>
      <w:numFmt w:val="bullet"/>
      <w:suff w:val="tab"/>
      <w:lvlText w:val="•"/>
      <w:rPr>
        <w:color w:val="3370ff"/>
      </w:rPr>
    </w:lvl>
  </w:abstractNum>
  <w:abstractNum w:abstractNumId="2305323">
    <w:lvl>
      <w:numFmt w:val="bullet"/>
      <w:suff w:val="tab"/>
      <w:lvlText w:val="•"/>
      <w:rPr>
        <w:color w:val="3370ff"/>
      </w:rPr>
    </w:lvl>
  </w:abstractNum>
  <w:abstractNum w:abstractNumId="2305324">
    <w:lvl>
      <w:numFmt w:val="bullet"/>
      <w:suff w:val="tab"/>
      <w:lvlText w:val="•"/>
      <w:rPr>
        <w:color w:val="3370ff"/>
      </w:rPr>
    </w:lvl>
  </w:abstractNum>
  <w:abstractNum w:abstractNumId="2305325">
    <w:lvl>
      <w:numFmt w:val="bullet"/>
      <w:suff w:val="tab"/>
      <w:lvlText w:val="•"/>
      <w:rPr>
        <w:color w:val="3370ff"/>
      </w:rPr>
    </w:lvl>
  </w:abstractNum>
  <w:abstractNum w:abstractNumId="2305326">
    <w:lvl>
      <w:numFmt w:val="bullet"/>
      <w:suff w:val="tab"/>
      <w:lvlText w:val="•"/>
      <w:rPr>
        <w:color w:val="3370ff"/>
      </w:rPr>
    </w:lvl>
  </w:abstractNum>
  <w:abstractNum w:abstractNumId="2305327">
    <w:lvl>
      <w:numFmt w:val="bullet"/>
      <w:suff w:val="tab"/>
      <w:lvlText w:val="•"/>
      <w:rPr>
        <w:color w:val="3370ff"/>
      </w:rPr>
    </w:lvl>
  </w:abstractNum>
  <w:abstractNum w:abstractNumId="2305328">
    <w:lvl>
      <w:numFmt w:val="bullet"/>
      <w:suff w:val="tab"/>
      <w:lvlText w:val="•"/>
      <w:rPr>
        <w:color w:val="3370ff"/>
      </w:rPr>
    </w:lvl>
  </w:abstractNum>
  <w:abstractNum w:abstractNumId="2305329">
    <w:lvl>
      <w:numFmt w:val="bullet"/>
      <w:suff w:val="tab"/>
      <w:lvlText w:val="•"/>
      <w:rPr>
        <w:color w:val="3370ff"/>
      </w:rPr>
    </w:lvl>
  </w:abstractNum>
  <w:abstractNum w:abstractNumId="2305330">
    <w:lvl>
      <w:numFmt w:val="bullet"/>
      <w:suff w:val="tab"/>
      <w:lvlText w:val="•"/>
      <w:rPr>
        <w:color w:val="3370ff"/>
      </w:rPr>
    </w:lvl>
  </w:abstractNum>
  <w:abstractNum w:abstractNumId="2305331">
    <w:lvl>
      <w:numFmt w:val="bullet"/>
      <w:suff w:val="tab"/>
      <w:lvlText w:val="•"/>
      <w:rPr>
        <w:color w:val="3370ff"/>
      </w:rPr>
    </w:lvl>
  </w:abstractNum>
  <w:abstractNum w:abstractNumId="2305332">
    <w:lvl>
      <w:numFmt w:val="bullet"/>
      <w:suff w:val="tab"/>
      <w:lvlText w:val="•"/>
      <w:rPr>
        <w:color w:val="3370ff"/>
      </w:rPr>
    </w:lvl>
  </w:abstractNum>
  <w:abstractNum w:abstractNumId="2305333">
    <w:lvl>
      <w:numFmt w:val="bullet"/>
      <w:suff w:val="tab"/>
      <w:lvlText w:val="•"/>
      <w:rPr>
        <w:color w:val="3370ff"/>
      </w:rPr>
    </w:lvl>
  </w:abstractNum>
  <w:abstractNum w:abstractNumId="2305334">
    <w:lvl>
      <w:numFmt w:val="bullet"/>
      <w:suff w:val="tab"/>
      <w:lvlText w:val="•"/>
      <w:rPr>
        <w:color w:val="3370ff"/>
      </w:rPr>
    </w:lvl>
  </w:abstractNum>
  <w:abstractNum w:abstractNumId="2305335">
    <w:lvl>
      <w:numFmt w:val="bullet"/>
      <w:suff w:val="tab"/>
      <w:lvlText w:val="•"/>
      <w:rPr>
        <w:color w:val="3370ff"/>
      </w:rPr>
    </w:lvl>
  </w:abstractNum>
  <w:abstractNum w:abstractNumId="2305336">
    <w:lvl>
      <w:numFmt w:val="bullet"/>
      <w:suff w:val="tab"/>
      <w:lvlText w:val="•"/>
      <w:rPr>
        <w:color w:val="3370ff"/>
      </w:rPr>
    </w:lvl>
  </w:abstractNum>
  <w:abstractNum w:abstractNumId="2305337">
    <w:lvl>
      <w:numFmt w:val="bullet"/>
      <w:suff w:val="tab"/>
      <w:lvlText w:val="￮"/>
      <w:rPr>
        <w:color w:val="3370ff"/>
      </w:rPr>
    </w:lvl>
  </w:abstractNum>
  <w:abstractNum w:abstractNumId="2305338">
    <w:lvl>
      <w:numFmt w:val="bullet"/>
      <w:suff w:val="tab"/>
      <w:lvlText w:val="￮"/>
      <w:rPr>
        <w:color w:val="3370ff"/>
      </w:rPr>
    </w:lvl>
  </w:abstractNum>
  <w:abstractNum w:abstractNumId="2305339">
    <w:lvl>
      <w:numFmt w:val="bullet"/>
      <w:suff w:val="tab"/>
      <w:lvlText w:val="￮"/>
      <w:rPr>
        <w:color w:val="3370ff"/>
      </w:rPr>
    </w:lvl>
  </w:abstractNum>
  <w:abstractNum w:abstractNumId="2305340">
    <w:lvl>
      <w:numFmt w:val="bullet"/>
      <w:suff w:val="tab"/>
      <w:lvlText w:val="▪"/>
      <w:rPr>
        <w:color w:val="3370ff"/>
        <w:sz w:val="11"/>
      </w:rPr>
    </w:lvl>
  </w:abstractNum>
  <w:abstractNum w:abstractNumId="2305341">
    <w:lvl>
      <w:numFmt w:val="bullet"/>
      <w:suff w:val="tab"/>
      <w:lvlText w:val="▪"/>
      <w:rPr>
        <w:color w:val="3370ff"/>
        <w:sz w:val="11"/>
      </w:rPr>
    </w:lvl>
  </w:abstractNum>
  <w:abstractNum w:abstractNumId="2305342">
    <w:lvl>
      <w:numFmt w:val="bullet"/>
      <w:suff w:val="tab"/>
      <w:lvlText w:val="▪"/>
      <w:rPr>
        <w:color w:val="3370ff"/>
        <w:sz w:val="11"/>
      </w:rPr>
    </w:lvl>
  </w:abstractNum>
  <w:abstractNum w:abstractNumId="2305343">
    <w:lvl>
      <w:numFmt w:val="bullet"/>
      <w:suff w:val="tab"/>
      <w:lvlText w:val="▪"/>
      <w:rPr>
        <w:color w:val="3370ff"/>
        <w:sz w:val="11"/>
      </w:rPr>
    </w:lvl>
  </w:abstractNum>
  <w:abstractNum w:abstractNumId="2305344">
    <w:lvl>
      <w:numFmt w:val="bullet"/>
      <w:suff w:val="tab"/>
      <w:lvlText w:val="▪"/>
      <w:rPr>
        <w:color w:val="3370ff"/>
        <w:sz w:val="11"/>
      </w:rPr>
    </w:lvl>
  </w:abstractNum>
  <w:abstractNum w:abstractNumId="2305345">
    <w:lvl>
      <w:numFmt w:val="bullet"/>
      <w:suff w:val="tab"/>
      <w:lvlText w:val="￮"/>
      <w:rPr>
        <w:color w:val="3370ff"/>
      </w:rPr>
    </w:lvl>
  </w:abstractNum>
  <w:abstractNum w:abstractNumId="2305346">
    <w:lvl>
      <w:numFmt w:val="bullet"/>
      <w:suff w:val="tab"/>
      <w:lvlText w:val="•"/>
      <w:rPr>
        <w:color w:val="3370ff"/>
      </w:rPr>
    </w:lvl>
  </w:abstractNum>
  <w:abstractNum w:abstractNumId="2305347">
    <w:lvl>
      <w:numFmt w:val="bullet"/>
      <w:suff w:val="tab"/>
      <w:lvlText w:val="•"/>
      <w:rPr>
        <w:color w:val="3370ff"/>
      </w:rPr>
    </w:lvl>
  </w:abstractNum>
  <w:abstractNum w:abstractNumId="2305348">
    <w:lvl>
      <w:numFmt w:val="bullet"/>
      <w:suff w:val="tab"/>
      <w:lvlText w:val="￮"/>
      <w:rPr>
        <w:color w:val="3370ff"/>
      </w:rPr>
    </w:lvl>
  </w:abstractNum>
  <w:abstractNum w:abstractNumId="2305349">
    <w:lvl>
      <w:numFmt w:val="bullet"/>
      <w:suff w:val="tab"/>
      <w:lvlText w:val="￮"/>
      <w:rPr>
        <w:color w:val="3370ff"/>
      </w:rPr>
    </w:lvl>
  </w:abstractNum>
  <w:abstractNum w:abstractNumId="2305350">
    <w:lvl>
      <w:numFmt w:val="bullet"/>
      <w:suff w:val="tab"/>
      <w:lvlText w:val="▪"/>
      <w:rPr>
        <w:color w:val="3370ff"/>
        <w:sz w:val="11"/>
      </w:rPr>
    </w:lvl>
  </w:abstractNum>
  <w:abstractNum w:abstractNumId="2305351">
    <w:lvl>
      <w:numFmt w:val="bullet"/>
      <w:suff w:val="tab"/>
      <w:lvlText w:val="▪"/>
      <w:rPr>
        <w:color w:val="3370ff"/>
        <w:sz w:val="11"/>
      </w:rPr>
    </w:lvl>
  </w:abstractNum>
  <w:abstractNum w:abstractNumId="2305352">
    <w:lvl>
      <w:numFmt w:val="bullet"/>
      <w:suff w:val="tab"/>
      <w:lvlText w:val="▪"/>
      <w:rPr>
        <w:color w:val="3370ff"/>
        <w:sz w:val="11"/>
      </w:rPr>
    </w:lvl>
  </w:abstractNum>
  <w:abstractNum w:abstractNumId="2305353">
    <w:lvl>
      <w:numFmt w:val="bullet"/>
      <w:suff w:val="tab"/>
      <w:lvlText w:val="￮"/>
      <w:rPr>
        <w:color w:val="3370ff"/>
      </w:rPr>
    </w:lvl>
  </w:abstractNum>
  <w:abstractNum w:abstractNumId="2305354">
    <w:lvl>
      <w:numFmt w:val="bullet"/>
      <w:suff w:val="tab"/>
      <w:lvlText w:val="￮"/>
      <w:rPr>
        <w:color w:val="3370ff"/>
      </w:rPr>
    </w:lvl>
  </w:abstractNum>
  <w:abstractNum w:abstractNumId="2305355">
    <w:lvl>
      <w:numFmt w:val="bullet"/>
      <w:suff w:val="tab"/>
      <w:lvlText w:val="•"/>
      <w:rPr>
        <w:color w:val="3370ff"/>
      </w:rPr>
    </w:lvl>
  </w:abstractNum>
  <w:abstractNum w:abstractNumId="2305356">
    <w:lvl>
      <w:numFmt w:val="bullet"/>
      <w:suff w:val="tab"/>
      <w:lvlText w:val="•"/>
      <w:rPr>
        <w:color w:val="3370ff"/>
      </w:rPr>
    </w:lvl>
  </w:abstractNum>
  <w:abstractNum w:abstractNumId="2305357">
    <w:lvl>
      <w:numFmt w:val="bullet"/>
      <w:suff w:val="tab"/>
      <w:lvlText w:val="￮"/>
      <w:rPr>
        <w:color w:val="3370ff"/>
      </w:rPr>
    </w:lvl>
  </w:abstractNum>
  <w:abstractNum w:abstractNumId="2305358">
    <w:lvl>
      <w:numFmt w:val="bullet"/>
      <w:suff w:val="tab"/>
      <w:lvlText w:val="▪"/>
      <w:rPr>
        <w:color w:val="3370ff"/>
        <w:sz w:val="11"/>
      </w:rPr>
    </w:lvl>
  </w:abstractNum>
  <w:abstractNum w:abstractNumId="2305359">
    <w:lvl>
      <w:numFmt w:val="bullet"/>
      <w:suff w:val="tab"/>
      <w:lvlText w:val="▪"/>
      <w:rPr>
        <w:color w:val="3370ff"/>
        <w:sz w:val="11"/>
      </w:rPr>
    </w:lvl>
  </w:abstractNum>
  <w:abstractNum w:abstractNumId="2305360">
    <w:lvl>
      <w:numFmt w:val="bullet"/>
      <w:suff w:val="tab"/>
      <w:lvlText w:val="▪"/>
      <w:rPr>
        <w:color w:val="3370ff"/>
        <w:sz w:val="11"/>
      </w:rPr>
    </w:lvl>
  </w:abstractNum>
  <w:abstractNum w:abstractNumId="2305361">
    <w:lvl>
      <w:numFmt w:val="bullet"/>
      <w:suff w:val="tab"/>
      <w:lvlText w:val="￮"/>
      <w:rPr>
        <w:color w:val="3370ff"/>
      </w:rPr>
    </w:lvl>
  </w:abstractNum>
  <w:abstractNum w:abstractNumId="2305362">
    <w:lvl>
      <w:numFmt w:val="bullet"/>
      <w:suff w:val="tab"/>
      <w:lvlText w:val="▪"/>
      <w:rPr>
        <w:color w:val="3370ff"/>
        <w:sz w:val="11"/>
      </w:rPr>
    </w:lvl>
  </w:abstractNum>
  <w:abstractNum w:abstractNumId="2305363">
    <w:lvl>
      <w:numFmt w:val="bullet"/>
      <w:suff w:val="tab"/>
      <w:lvlText w:val="▪"/>
      <w:rPr>
        <w:color w:val="3370ff"/>
        <w:sz w:val="11"/>
      </w:rPr>
    </w:lvl>
  </w:abstractNum>
  <w:abstractNum w:abstractNumId="2305364">
    <w:lvl>
      <w:numFmt w:val="bullet"/>
      <w:suff w:val="tab"/>
      <w:lvlText w:val="▪"/>
      <w:rPr>
        <w:color w:val="3370ff"/>
        <w:sz w:val="11"/>
      </w:rPr>
    </w:lvl>
  </w:abstractNum>
  <w:abstractNum w:abstractNumId="2305365">
    <w:lvl>
      <w:numFmt w:val="bullet"/>
      <w:suff w:val="tab"/>
      <w:lvlText w:val="￮"/>
      <w:rPr>
        <w:color w:val="3370ff"/>
      </w:rPr>
    </w:lvl>
  </w:abstractNum>
  <w:abstractNum w:abstractNumId="2305366">
    <w:lvl>
      <w:numFmt w:val="bullet"/>
      <w:suff w:val="tab"/>
      <w:lvlText w:val="•"/>
      <w:rPr>
        <w:color w:val="3370ff"/>
      </w:rPr>
    </w:lvl>
  </w:abstractNum>
  <w:abstractNum w:abstractNumId="2305367">
    <w:lvl>
      <w:numFmt w:val="bullet"/>
      <w:suff w:val="tab"/>
      <w:lvlText w:val="•"/>
      <w:rPr>
        <w:color w:val="3370ff"/>
      </w:rPr>
    </w:lvl>
  </w:abstractNum>
  <w:abstractNum w:abstractNumId="2305368">
    <w:lvl>
      <w:numFmt w:val="bullet"/>
      <w:suff w:val="tab"/>
      <w:lvlText w:val="•"/>
      <w:rPr>
        <w:color w:val="3370ff"/>
      </w:rPr>
    </w:lvl>
  </w:abstractNum>
  <w:abstractNum w:abstractNumId="2305369">
    <w:lvl>
      <w:numFmt w:val="bullet"/>
      <w:suff w:val="tab"/>
      <w:lvlText w:val="￮"/>
      <w:rPr>
        <w:color w:val="3370ff"/>
      </w:rPr>
    </w:lvl>
  </w:abstractNum>
  <w:abstractNum w:abstractNumId="2305370">
    <w:lvl>
      <w:numFmt w:val="bullet"/>
      <w:suff w:val="tab"/>
      <w:lvlText w:val="￮"/>
      <w:rPr>
        <w:color w:val="3370ff"/>
      </w:rPr>
    </w:lvl>
  </w:abstractNum>
  <w:abstractNum w:abstractNumId="2305371">
    <w:lvl>
      <w:numFmt w:val="bullet"/>
      <w:suff w:val="tab"/>
      <w:lvlText w:val="▪"/>
      <w:rPr>
        <w:color w:val="3370ff"/>
        <w:sz w:val="11"/>
      </w:rPr>
    </w:lvl>
  </w:abstractNum>
  <w:abstractNum w:abstractNumId="2305372">
    <w:lvl>
      <w:numFmt w:val="bullet"/>
      <w:suff w:val="tab"/>
      <w:lvlText w:val="▪"/>
      <w:rPr>
        <w:color w:val="3370ff"/>
        <w:sz w:val="11"/>
      </w:rPr>
    </w:lvl>
  </w:abstractNum>
  <w:abstractNum w:abstractNumId="2305373">
    <w:lvl>
      <w:numFmt w:val="bullet"/>
      <w:suff w:val="tab"/>
      <w:lvlText w:val="▪"/>
      <w:rPr>
        <w:color w:val="3370ff"/>
        <w:sz w:val="11"/>
      </w:rPr>
    </w:lvl>
  </w:abstractNum>
  <w:abstractNum w:abstractNumId="2305374">
    <w:lvl>
      <w:numFmt w:val="bullet"/>
      <w:suff w:val="tab"/>
      <w:lvlText w:val="￮"/>
      <w:rPr>
        <w:color w:val="3370ff"/>
      </w:rPr>
    </w:lvl>
  </w:abstractNum>
  <w:abstractNum w:abstractNumId="2305375">
    <w:lvl>
      <w:numFmt w:val="bullet"/>
      <w:suff w:val="tab"/>
      <w:lvlText w:val="•"/>
      <w:rPr>
        <w:color w:val="3370ff"/>
      </w:rPr>
    </w:lvl>
  </w:abstractNum>
  <w:abstractNum w:abstractNumId="2305376">
    <w:lvl>
      <w:numFmt w:val="bullet"/>
      <w:suff w:val="tab"/>
      <w:lvlText w:val="•"/>
      <w:rPr>
        <w:color w:val="3370ff"/>
      </w:rPr>
    </w:lvl>
  </w:abstractNum>
  <w:abstractNum w:abstractNumId="2305377">
    <w:lvl>
      <w:numFmt w:val="bullet"/>
      <w:suff w:val="tab"/>
      <w:lvlText w:val="￮"/>
      <w:rPr>
        <w:color w:val="3370ff"/>
      </w:rPr>
    </w:lvl>
  </w:abstractNum>
  <w:abstractNum w:abstractNumId="2305378">
    <w:lvl>
      <w:numFmt w:val="bullet"/>
      <w:suff w:val="tab"/>
      <w:lvlText w:val="￮"/>
      <w:rPr>
        <w:color w:val="3370ff"/>
      </w:rPr>
    </w:lvl>
  </w:abstractNum>
  <w:abstractNum w:abstractNumId="2305379">
    <w:lvl>
      <w:numFmt w:val="bullet"/>
      <w:suff w:val="tab"/>
      <w:lvlText w:val="￮"/>
      <w:rPr>
        <w:color w:val="3370ff"/>
      </w:rPr>
    </w:lvl>
  </w:abstractNum>
  <w:abstractNum w:abstractNumId="2305380">
    <w:lvl>
      <w:numFmt w:val="bullet"/>
      <w:suff w:val="tab"/>
      <w:lvlText w:val="￮"/>
      <w:rPr>
        <w:color w:val="3370ff"/>
      </w:rPr>
    </w:lvl>
  </w:abstractNum>
  <w:abstractNum w:abstractNumId="2305381">
    <w:lvl>
      <w:numFmt w:val="bullet"/>
      <w:suff w:val="tab"/>
      <w:lvlText w:val="•"/>
      <w:rPr>
        <w:color w:val="3370ff"/>
      </w:rPr>
    </w:lvl>
  </w:abstractNum>
  <w:abstractNum w:abstractNumId="2305382">
    <w:lvl>
      <w:numFmt w:val="bullet"/>
      <w:suff w:val="tab"/>
      <w:lvlText w:val="•"/>
      <w:rPr>
        <w:color w:val="3370ff"/>
      </w:rPr>
    </w:lvl>
  </w:abstractNum>
  <w:abstractNum w:abstractNumId="2305383">
    <w:lvl>
      <w:numFmt w:val="bullet"/>
      <w:suff w:val="tab"/>
      <w:lvlText w:val="￮"/>
      <w:rPr>
        <w:color w:val="3370ff"/>
      </w:rPr>
    </w:lvl>
  </w:abstractNum>
  <w:abstractNum w:abstractNumId="2305384">
    <w:lvl>
      <w:numFmt w:val="bullet"/>
      <w:suff w:val="tab"/>
      <w:lvlText w:val="￮"/>
      <w:rPr>
        <w:color w:val="3370ff"/>
      </w:rPr>
    </w:lvl>
  </w:abstractNum>
  <w:abstractNum w:abstractNumId="2305385">
    <w:lvl>
      <w:numFmt w:val="bullet"/>
      <w:suff w:val="tab"/>
      <w:lvlText w:val="￮"/>
      <w:rPr>
        <w:color w:val="3370ff"/>
      </w:rPr>
    </w:lvl>
  </w:abstractNum>
  <w:abstractNum w:abstractNumId="2305386">
    <w:lvl>
      <w:numFmt w:val="bullet"/>
      <w:suff w:val="tab"/>
      <w:lvlText w:val="•"/>
      <w:rPr>
        <w:color w:val="3370ff"/>
      </w:rPr>
    </w:lvl>
  </w:abstractNum>
  <w:abstractNum w:abstractNumId="2305387">
    <w:lvl>
      <w:numFmt w:val="bullet"/>
      <w:suff w:val="tab"/>
      <w:lvlText w:val="•"/>
      <w:rPr>
        <w:color w:val="3370ff"/>
      </w:rPr>
    </w:lvl>
  </w:abstractNum>
  <w:abstractNum w:abstractNumId="2305388">
    <w:lvl>
      <w:numFmt w:val="bullet"/>
      <w:suff w:val="tab"/>
      <w:lvlText w:val="￮"/>
      <w:rPr>
        <w:color w:val="3370ff"/>
      </w:rPr>
    </w:lvl>
  </w:abstractNum>
  <w:abstractNum w:abstractNumId="2305389">
    <w:lvl>
      <w:numFmt w:val="bullet"/>
      <w:suff w:val="tab"/>
      <w:lvlText w:val="￮"/>
      <w:rPr>
        <w:color w:val="3370ff"/>
      </w:rPr>
    </w:lvl>
  </w:abstractNum>
  <w:abstractNum w:abstractNumId="2305390">
    <w:lvl>
      <w:numFmt w:val="bullet"/>
      <w:suff w:val="tab"/>
      <w:lvlText w:val="￮"/>
      <w:rPr>
        <w:color w:val="3370ff"/>
      </w:rPr>
    </w:lvl>
  </w:abstractNum>
  <w:abstractNum w:abstractNumId="2305391">
    <w:lvl>
      <w:numFmt w:val="bullet"/>
      <w:suff w:val="tab"/>
      <w:lvlText w:val="•"/>
      <w:rPr>
        <w:color w:val="3370ff"/>
      </w:rPr>
    </w:lvl>
  </w:abstractNum>
  <w:abstractNum w:abstractNumId="2305392">
    <w:lvl>
      <w:numFmt w:val="bullet"/>
      <w:suff w:val="tab"/>
      <w:lvlText w:val="•"/>
      <w:rPr>
        <w:color w:val="3370ff"/>
      </w:rPr>
    </w:lvl>
  </w:abstractNum>
  <w:abstractNum w:abstractNumId="2305393">
    <w:lvl>
      <w:numFmt w:val="bullet"/>
      <w:suff w:val="tab"/>
      <w:lvlText w:val="￮"/>
      <w:rPr>
        <w:color w:val="3370ff"/>
      </w:rPr>
    </w:lvl>
  </w:abstractNum>
  <w:abstractNum w:abstractNumId="2305394">
    <w:lvl>
      <w:numFmt w:val="bullet"/>
      <w:suff w:val="tab"/>
      <w:lvlText w:val="▪"/>
      <w:rPr>
        <w:color w:val="3370ff"/>
        <w:sz w:val="11"/>
      </w:rPr>
    </w:lvl>
  </w:abstractNum>
  <w:abstractNum w:abstractNumId="2305395">
    <w:lvl>
      <w:numFmt w:val="bullet"/>
      <w:suff w:val="tab"/>
      <w:lvlText w:val="▪"/>
      <w:rPr>
        <w:color w:val="3370ff"/>
        <w:sz w:val="11"/>
      </w:rPr>
    </w:lvl>
  </w:abstractNum>
  <w:abstractNum w:abstractNumId="2305396">
    <w:lvl>
      <w:numFmt w:val="bullet"/>
      <w:suff w:val="tab"/>
      <w:lvlText w:val="▪"/>
      <w:rPr>
        <w:color w:val="3370ff"/>
        <w:sz w:val="11"/>
      </w:rPr>
    </w:lvl>
  </w:abstractNum>
  <w:abstractNum w:abstractNumId="2305397">
    <w:lvl>
      <w:numFmt w:val="bullet"/>
      <w:suff w:val="tab"/>
      <w:lvlText w:val="▪"/>
      <w:rPr>
        <w:color w:val="3370ff"/>
        <w:sz w:val="11"/>
      </w:rPr>
    </w:lvl>
  </w:abstractNum>
  <w:abstractNum w:abstractNumId="2305398">
    <w:lvl>
      <w:numFmt w:val="bullet"/>
      <w:suff w:val="tab"/>
      <w:lvlText w:val="▪"/>
      <w:rPr>
        <w:color w:val="3370ff"/>
        <w:sz w:val="11"/>
      </w:rPr>
    </w:lvl>
  </w:abstractNum>
  <w:abstractNum w:abstractNumId="2305399">
    <w:lvl>
      <w:numFmt w:val="bullet"/>
      <w:suff w:val="tab"/>
      <w:lvlText w:val="￮"/>
      <w:rPr>
        <w:color w:val="3370ff"/>
      </w:rPr>
    </w:lvl>
  </w:abstractNum>
  <w:abstractNum w:abstractNumId="2305400">
    <w:lvl>
      <w:numFmt w:val="bullet"/>
      <w:suff w:val="tab"/>
      <w:lvlText w:val="￮"/>
      <w:rPr>
        <w:color w:val="3370ff"/>
      </w:rPr>
    </w:lvl>
  </w:abstractNum>
  <w:abstractNum w:abstractNumId="2305401">
    <w:lvl>
      <w:numFmt w:val="bullet"/>
      <w:suff w:val="tab"/>
      <w:lvlText w:val="▪"/>
      <w:rPr>
        <w:color w:val="3370ff"/>
        <w:sz w:val="11"/>
      </w:rPr>
    </w:lvl>
  </w:abstractNum>
  <w:abstractNum w:abstractNumId="2305402">
    <w:lvl>
      <w:numFmt w:val="bullet"/>
      <w:suff w:val="tab"/>
      <w:lvlText w:val="▪"/>
      <w:rPr>
        <w:color w:val="3370ff"/>
        <w:sz w:val="11"/>
      </w:rPr>
    </w:lvl>
  </w:abstractNum>
  <w:abstractNum w:abstractNumId="2305403">
    <w:lvl>
      <w:numFmt w:val="bullet"/>
      <w:suff w:val="tab"/>
      <w:lvlText w:val="▪"/>
      <w:rPr>
        <w:color w:val="3370ff"/>
        <w:sz w:val="11"/>
      </w:rPr>
    </w:lvl>
  </w:abstractNum>
  <w:abstractNum w:abstractNumId="2305404">
    <w:lvl>
      <w:numFmt w:val="bullet"/>
      <w:suff w:val="tab"/>
      <w:lvlText w:val="￮"/>
      <w:rPr>
        <w:color w:val="3370ff"/>
      </w:rPr>
    </w:lvl>
  </w:abstractNum>
  <w:abstractNum w:abstractNumId="2305405">
    <w:lvl>
      <w:numFmt w:val="bullet"/>
      <w:suff w:val="tab"/>
      <w:lvlText w:val="•"/>
      <w:rPr>
        <w:color w:val="3370ff"/>
      </w:rPr>
    </w:lvl>
  </w:abstractNum>
  <w:abstractNum w:abstractNumId="2305406">
    <w:lvl>
      <w:numFmt w:val="bullet"/>
      <w:suff w:val="tab"/>
      <w:lvlText w:val="•"/>
      <w:rPr>
        <w:color w:val="3370ff"/>
      </w:rPr>
    </w:lvl>
  </w:abstractNum>
  <w:abstractNum w:abstractNumId="2305407">
    <w:lvl>
      <w:numFmt w:val="bullet"/>
      <w:suff w:val="tab"/>
      <w:lvlText w:val="￮"/>
      <w:rPr>
        <w:color w:val="3370ff"/>
      </w:rPr>
    </w:lvl>
  </w:abstractNum>
  <w:abstractNum w:abstractNumId="2305408">
    <w:lvl>
      <w:numFmt w:val="bullet"/>
      <w:suff w:val="tab"/>
      <w:lvlText w:val="▪"/>
      <w:rPr>
        <w:color w:val="3370ff"/>
        <w:sz w:val="11"/>
      </w:rPr>
    </w:lvl>
  </w:abstractNum>
  <w:abstractNum w:abstractNumId="2305409">
    <w:lvl>
      <w:numFmt w:val="bullet"/>
      <w:suff w:val="tab"/>
      <w:lvlText w:val="▪"/>
      <w:rPr>
        <w:color w:val="3370ff"/>
        <w:sz w:val="11"/>
      </w:rPr>
    </w:lvl>
  </w:abstractNum>
  <w:abstractNum w:abstractNumId="2305410">
    <w:lvl>
      <w:numFmt w:val="bullet"/>
      <w:suff w:val="tab"/>
      <w:lvlText w:val="￮"/>
      <w:rPr>
        <w:color w:val="3370ff"/>
      </w:rPr>
    </w:lvl>
  </w:abstractNum>
  <w:abstractNum w:abstractNumId="2305411">
    <w:lvl>
      <w:numFmt w:val="bullet"/>
      <w:suff w:val="tab"/>
      <w:lvlText w:val="▪"/>
      <w:rPr>
        <w:color w:val="3370ff"/>
        <w:sz w:val="11"/>
      </w:rPr>
    </w:lvl>
  </w:abstractNum>
  <w:abstractNum w:abstractNumId="2305412">
    <w:lvl>
      <w:numFmt w:val="bullet"/>
      <w:suff w:val="tab"/>
      <w:lvlText w:val="▪"/>
      <w:rPr>
        <w:color w:val="3370ff"/>
        <w:sz w:val="11"/>
      </w:rPr>
    </w:lvl>
  </w:abstractNum>
  <w:abstractNum w:abstractNumId="2305413">
    <w:lvl>
      <w:numFmt w:val="bullet"/>
      <w:suff w:val="tab"/>
      <w:lvlText w:val="￮"/>
      <w:rPr>
        <w:color w:val="3370ff"/>
      </w:rPr>
    </w:lvl>
  </w:abstractNum>
  <w:abstractNum w:abstractNumId="2305414">
    <w:lvl>
      <w:numFmt w:val="bullet"/>
      <w:suff w:val="tab"/>
      <w:lvlText w:val="•"/>
      <w:rPr>
        <w:color w:val="3370ff"/>
      </w:rPr>
    </w:lvl>
  </w:abstractNum>
  <w:abstractNum w:abstractNumId="2305415">
    <w:lvl>
      <w:numFmt w:val="bullet"/>
      <w:suff w:val="tab"/>
      <w:lvlText w:val="•"/>
      <w:rPr>
        <w:color w:val="3370ff"/>
      </w:rPr>
    </w:lvl>
  </w:abstractNum>
  <w:abstractNum w:abstractNumId="2305416">
    <w:lvl>
      <w:numFmt w:val="bullet"/>
      <w:suff w:val="tab"/>
      <w:lvlText w:val="￮"/>
      <w:rPr>
        <w:color w:val="3370ff"/>
      </w:rPr>
    </w:lvl>
  </w:abstractNum>
  <w:abstractNum w:abstractNumId="2305417">
    <w:lvl>
      <w:numFmt w:val="bullet"/>
      <w:suff w:val="tab"/>
      <w:lvlText w:val="￮"/>
      <w:rPr>
        <w:color w:val="3370ff"/>
      </w:rPr>
    </w:lvl>
  </w:abstractNum>
  <w:abstractNum w:abstractNumId="2305418">
    <w:lvl>
      <w:numFmt w:val="bullet"/>
      <w:suff w:val="tab"/>
      <w:lvlText w:val="￮"/>
      <w:rPr>
        <w:color w:val="3370ff"/>
      </w:rPr>
    </w:lvl>
  </w:abstractNum>
  <w:abstractNum w:abstractNumId="2305419">
    <w:lvl>
      <w:numFmt w:val="bullet"/>
      <w:suff w:val="tab"/>
      <w:lvlText w:val="•"/>
      <w:rPr>
        <w:color w:val="3370ff"/>
      </w:rPr>
    </w:lvl>
  </w:abstractNum>
  <w:abstractNum w:abstractNumId="2305420">
    <w:lvl>
      <w:numFmt w:val="bullet"/>
      <w:suff w:val="tab"/>
      <w:lvlText w:val="•"/>
      <w:rPr>
        <w:color w:val="3370ff"/>
      </w:rPr>
    </w:lvl>
  </w:abstractNum>
  <w:abstractNum w:abstractNumId="2305421">
    <w:lvl>
      <w:numFmt w:val="bullet"/>
      <w:suff w:val="tab"/>
      <w:lvlText w:val="￮"/>
      <w:rPr>
        <w:color w:val="3370ff"/>
      </w:rPr>
    </w:lvl>
  </w:abstractNum>
  <w:abstractNum w:abstractNumId="2305422">
    <w:lvl>
      <w:numFmt w:val="bullet"/>
      <w:suff w:val="tab"/>
      <w:lvlText w:val="￮"/>
      <w:rPr>
        <w:color w:val="3370ff"/>
      </w:rPr>
    </w:lvl>
  </w:abstractNum>
  <w:abstractNum w:abstractNumId="2305423">
    <w:lvl>
      <w:numFmt w:val="bullet"/>
      <w:suff w:val="tab"/>
      <w:lvlText w:val="￮"/>
      <w:rPr>
        <w:color w:val="3370ff"/>
      </w:rPr>
    </w:lvl>
  </w:abstractNum>
  <w:abstractNum w:abstractNumId="2305424">
    <w:lvl>
      <w:numFmt w:val="bullet"/>
      <w:suff w:val="tab"/>
      <w:lvlText w:val="•"/>
      <w:rPr>
        <w:color w:val="3370ff"/>
      </w:rPr>
    </w:lvl>
  </w:abstractNum>
  <w:abstractNum w:abstractNumId="2305425">
    <w:lvl>
      <w:numFmt w:val="bullet"/>
      <w:suff w:val="tab"/>
      <w:lvlText w:val="•"/>
      <w:rPr>
        <w:color w:val="3370ff"/>
      </w:rPr>
    </w:lvl>
  </w:abstractNum>
  <w:abstractNum w:abstractNumId="2305426">
    <w:lvl>
      <w:numFmt w:val="bullet"/>
      <w:suff w:val="tab"/>
      <w:lvlText w:val="￮"/>
      <w:rPr>
        <w:color w:val="3370ff"/>
      </w:rPr>
    </w:lvl>
  </w:abstractNum>
  <w:abstractNum w:abstractNumId="2305427">
    <w:lvl>
      <w:numFmt w:val="bullet"/>
      <w:suff w:val="tab"/>
      <w:lvlText w:val="￮"/>
      <w:rPr>
        <w:color w:val="3370ff"/>
      </w:rPr>
    </w:lvl>
  </w:abstractNum>
  <w:abstractNum w:abstractNumId="2305428">
    <w:lvl>
      <w:numFmt w:val="bullet"/>
      <w:suff w:val="tab"/>
      <w:lvlText w:val="•"/>
      <w:rPr>
        <w:color w:val="3370ff"/>
      </w:rPr>
    </w:lvl>
  </w:abstractNum>
  <w:abstractNum w:abstractNumId="2305429">
    <w:lvl>
      <w:numFmt w:val="bullet"/>
      <w:suff w:val="tab"/>
      <w:lvlText w:val="•"/>
      <w:rPr>
        <w:color w:val="3370ff"/>
      </w:rPr>
    </w:lvl>
  </w:abstractNum>
  <w:abstractNum w:abstractNumId="2305430">
    <w:lvl>
      <w:numFmt w:val="bullet"/>
      <w:suff w:val="tab"/>
      <w:lvlText w:val="•"/>
      <w:rPr>
        <w:color w:val="3370ff"/>
      </w:rPr>
    </w:lvl>
  </w:abstractNum>
  <w:abstractNum w:abstractNumId="2305431">
    <w:lvl>
      <w:numFmt w:val="bullet"/>
      <w:suff w:val="tab"/>
      <w:lvlText w:val="•"/>
      <w:rPr>
        <w:color w:val="3370ff"/>
      </w:rPr>
    </w:lvl>
  </w:abstractNum>
  <w:abstractNum w:abstractNumId="2305432">
    <w:lvl>
      <w:numFmt w:val="bullet"/>
      <w:suff w:val="tab"/>
      <w:lvlText w:val="•"/>
      <w:rPr>
        <w:color w:val="3370ff"/>
      </w:rPr>
    </w:lvl>
  </w:abstractNum>
  <w:abstractNum w:abstractNumId="2305433">
    <w:lvl>
      <w:numFmt w:val="bullet"/>
      <w:suff w:val="tab"/>
      <w:lvlText w:val="•"/>
      <w:rPr>
        <w:color w:val="3370ff"/>
      </w:rPr>
    </w:lvl>
  </w:abstractNum>
  <w:abstractNum w:abstractNumId="2305434">
    <w:lvl>
      <w:numFmt w:val="bullet"/>
      <w:suff w:val="tab"/>
      <w:lvlText w:val="•"/>
      <w:rPr>
        <w:color w:val="3370ff"/>
      </w:rPr>
    </w:lvl>
  </w:abstractNum>
  <w:abstractNum w:abstractNumId="2305435">
    <w:lvl>
      <w:numFmt w:val="bullet"/>
      <w:suff w:val="tab"/>
      <w:lvlText w:val="•"/>
      <w:rPr>
        <w:color w:val="3370ff"/>
      </w:rPr>
    </w:lvl>
  </w:abstractNum>
  <w:abstractNum w:abstractNumId="2305436">
    <w:lvl>
      <w:numFmt w:val="bullet"/>
      <w:suff w:val="tab"/>
      <w:lvlText w:val="•"/>
      <w:rPr>
        <w:color w:val="3370ff"/>
      </w:rPr>
    </w:lvl>
  </w:abstractNum>
  <w:abstractNum w:abstractNumId="2305437">
    <w:lvl>
      <w:numFmt w:val="bullet"/>
      <w:suff w:val="tab"/>
      <w:lvlText w:val="•"/>
      <w:rPr>
        <w:color w:val="3370ff"/>
      </w:rPr>
    </w:lvl>
  </w:abstractNum>
  <w:abstractNum w:abstractNumId="2305438">
    <w:lvl>
      <w:numFmt w:val="bullet"/>
      <w:suff w:val="tab"/>
      <w:lvlText w:val="•"/>
      <w:rPr>
        <w:color w:val="3370ff"/>
      </w:rPr>
    </w:lvl>
  </w:abstractNum>
  <w:abstractNum w:abstractNumId="2305439">
    <w:lvl>
      <w:numFmt w:val="bullet"/>
      <w:suff w:val="tab"/>
      <w:lvlText w:val="•"/>
      <w:rPr>
        <w:color w:val="3370ff"/>
      </w:rPr>
    </w:lvl>
  </w:abstractNum>
  <w:abstractNum w:abstractNumId="2305440">
    <w:lvl>
      <w:numFmt w:val="bullet"/>
      <w:suff w:val="tab"/>
      <w:lvlText w:val="•"/>
      <w:rPr>
        <w:color w:val="3370ff"/>
      </w:rPr>
    </w:lvl>
  </w:abstractNum>
  <w:abstractNum w:abstractNumId="2305441">
    <w:lvl>
      <w:numFmt w:val="bullet"/>
      <w:suff w:val="tab"/>
      <w:lvlText w:val="•"/>
      <w:rPr>
        <w:color w:val="3370ff"/>
      </w:rPr>
    </w:lvl>
  </w:abstractNum>
  <w:abstractNum w:abstractNumId="2305442">
    <w:lvl>
      <w:numFmt w:val="bullet"/>
      <w:suff w:val="tab"/>
      <w:lvlText w:val="•"/>
      <w:rPr>
        <w:color w:val="3370ff"/>
      </w:rPr>
    </w:lvl>
  </w:abstractNum>
  <w:abstractNum w:abstractNumId="2305443">
    <w:lvl>
      <w:numFmt w:val="bullet"/>
      <w:suff w:val="tab"/>
      <w:lvlText w:val="•"/>
      <w:rPr>
        <w:color w:val="3370ff"/>
      </w:rPr>
    </w:lvl>
  </w:abstractNum>
  <w:abstractNum w:abstractNumId="2305444">
    <w:lvl>
      <w:numFmt w:val="bullet"/>
      <w:suff w:val="tab"/>
      <w:lvlText w:val="•"/>
      <w:rPr>
        <w:color w:val="3370ff"/>
      </w:rPr>
    </w:lvl>
  </w:abstractNum>
  <w:abstractNum w:abstractNumId="2305445">
    <w:lvl>
      <w:numFmt w:val="bullet"/>
      <w:suff w:val="tab"/>
      <w:lvlText w:val="•"/>
      <w:rPr>
        <w:color w:val="3370ff"/>
      </w:rPr>
    </w:lvl>
  </w:abstractNum>
  <w:abstractNum w:abstractNumId="2305446">
    <w:lvl>
      <w:numFmt w:val="bullet"/>
      <w:suff w:val="tab"/>
      <w:lvlText w:val="•"/>
      <w:rPr>
        <w:color w:val="3370ff"/>
      </w:rPr>
    </w:lvl>
  </w:abstractNum>
  <w:abstractNum w:abstractNumId="2305447">
    <w:lvl>
      <w:numFmt w:val="bullet"/>
      <w:suff w:val="tab"/>
      <w:lvlText w:val="•"/>
      <w:rPr>
        <w:color w:val="3370ff"/>
      </w:rPr>
    </w:lvl>
  </w:abstractNum>
  <w:abstractNum w:abstractNumId="2305448">
    <w:lvl>
      <w:numFmt w:val="bullet"/>
      <w:suff w:val="tab"/>
      <w:lvlText w:val="•"/>
      <w:rPr>
        <w:color w:val="3370ff"/>
      </w:rPr>
    </w:lvl>
  </w:abstractNum>
  <w:abstractNum w:abstractNumId="2305449">
    <w:lvl>
      <w:numFmt w:val="bullet"/>
      <w:suff w:val="tab"/>
      <w:lvlText w:val="•"/>
      <w:rPr>
        <w:color w:val="3370ff"/>
      </w:rPr>
    </w:lvl>
  </w:abstractNum>
  <w:abstractNum w:abstractNumId="2305450">
    <w:lvl>
      <w:numFmt w:val="bullet"/>
      <w:suff w:val="tab"/>
      <w:lvlText w:val="•"/>
      <w:rPr>
        <w:color w:val="3370ff"/>
      </w:rPr>
    </w:lvl>
  </w:abstractNum>
  <w:abstractNum w:abstractNumId="2305451">
    <w:lvl>
      <w:numFmt w:val="bullet"/>
      <w:suff w:val="tab"/>
      <w:lvlText w:val="•"/>
      <w:rPr>
        <w:color w:val="3370ff"/>
      </w:rPr>
    </w:lvl>
  </w:abstractNum>
  <w:abstractNum w:abstractNumId="2305452">
    <w:lvl>
      <w:numFmt w:val="bullet"/>
      <w:suff w:val="tab"/>
      <w:lvlText w:val="•"/>
      <w:rPr>
        <w:color w:val="3370ff"/>
      </w:rPr>
    </w:lvl>
  </w:abstractNum>
  <w:abstractNum w:abstractNumId="2305453">
    <w:lvl>
      <w:numFmt w:val="bullet"/>
      <w:suff w:val="tab"/>
      <w:lvlText w:val="•"/>
      <w:rPr>
        <w:color w:val="3370ff"/>
      </w:rPr>
    </w:lvl>
  </w:abstractNum>
  <w:num w:numId="1">
    <w:abstractNumId w:val="2305321"/>
  </w:num>
  <w:num w:numId="2">
    <w:abstractNumId w:val="2305322"/>
  </w:num>
  <w:num w:numId="3">
    <w:abstractNumId w:val="2305323"/>
  </w:num>
  <w:num w:numId="4">
    <w:abstractNumId w:val="2305324"/>
  </w:num>
  <w:num w:numId="5">
    <w:abstractNumId w:val="2305325"/>
  </w:num>
  <w:num w:numId="6">
    <w:abstractNumId w:val="2305326"/>
  </w:num>
  <w:num w:numId="7">
    <w:abstractNumId w:val="2305327"/>
  </w:num>
  <w:num w:numId="8">
    <w:abstractNumId w:val="2305328"/>
  </w:num>
  <w:num w:numId="9">
    <w:abstractNumId w:val="2305329"/>
  </w:num>
  <w:num w:numId="10">
    <w:abstractNumId w:val="2305330"/>
  </w:num>
  <w:num w:numId="11">
    <w:abstractNumId w:val="2305331"/>
  </w:num>
  <w:num w:numId="12">
    <w:abstractNumId w:val="2305332"/>
  </w:num>
  <w:num w:numId="13">
    <w:abstractNumId w:val="2305333"/>
  </w:num>
  <w:num w:numId="14">
    <w:abstractNumId w:val="2305334"/>
  </w:num>
  <w:num w:numId="15">
    <w:abstractNumId w:val="2305335"/>
  </w:num>
  <w:num w:numId="16">
    <w:abstractNumId w:val="2305336"/>
  </w:num>
  <w:num w:numId="17">
    <w:abstractNumId w:val="2305337"/>
  </w:num>
  <w:num w:numId="18">
    <w:abstractNumId w:val="2305338"/>
  </w:num>
  <w:num w:numId="19">
    <w:abstractNumId w:val="2305339"/>
  </w:num>
  <w:num w:numId="20">
    <w:abstractNumId w:val="2305340"/>
  </w:num>
  <w:num w:numId="21">
    <w:abstractNumId w:val="2305341"/>
  </w:num>
  <w:num w:numId="22">
    <w:abstractNumId w:val="2305342"/>
  </w:num>
  <w:num w:numId="23">
    <w:abstractNumId w:val="2305343"/>
  </w:num>
  <w:num w:numId="24">
    <w:abstractNumId w:val="2305344"/>
  </w:num>
  <w:num w:numId="25">
    <w:abstractNumId w:val="2305345"/>
  </w:num>
  <w:num w:numId="26">
    <w:abstractNumId w:val="2305346"/>
  </w:num>
  <w:num w:numId="27">
    <w:abstractNumId w:val="2305347"/>
  </w:num>
  <w:num w:numId="28">
    <w:abstractNumId w:val="2305348"/>
  </w:num>
  <w:num w:numId="29">
    <w:abstractNumId w:val="2305349"/>
  </w:num>
  <w:num w:numId="30">
    <w:abstractNumId w:val="2305350"/>
  </w:num>
  <w:num w:numId="31">
    <w:abstractNumId w:val="2305351"/>
  </w:num>
  <w:num w:numId="32">
    <w:abstractNumId w:val="2305352"/>
  </w:num>
  <w:num w:numId="33">
    <w:abstractNumId w:val="2305353"/>
  </w:num>
  <w:num w:numId="34">
    <w:abstractNumId w:val="2305354"/>
  </w:num>
  <w:num w:numId="35">
    <w:abstractNumId w:val="2305355"/>
  </w:num>
  <w:num w:numId="36">
    <w:abstractNumId w:val="2305356"/>
  </w:num>
  <w:num w:numId="37">
    <w:abstractNumId w:val="2305357"/>
  </w:num>
  <w:num w:numId="38">
    <w:abstractNumId w:val="2305358"/>
  </w:num>
  <w:num w:numId="39">
    <w:abstractNumId w:val="2305359"/>
  </w:num>
  <w:num w:numId="40">
    <w:abstractNumId w:val="2305360"/>
  </w:num>
  <w:num w:numId="41">
    <w:abstractNumId w:val="2305361"/>
  </w:num>
  <w:num w:numId="42">
    <w:abstractNumId w:val="2305362"/>
  </w:num>
  <w:num w:numId="43">
    <w:abstractNumId w:val="2305363"/>
  </w:num>
  <w:num w:numId="44">
    <w:abstractNumId w:val="2305364"/>
  </w:num>
  <w:num w:numId="45">
    <w:abstractNumId w:val="2305365"/>
  </w:num>
  <w:num w:numId="46">
    <w:abstractNumId w:val="2305366"/>
  </w:num>
  <w:num w:numId="47">
    <w:abstractNumId w:val="2305367"/>
  </w:num>
  <w:num w:numId="48">
    <w:abstractNumId w:val="2305368"/>
  </w:num>
  <w:num w:numId="49">
    <w:abstractNumId w:val="2305369"/>
  </w:num>
  <w:num w:numId="50">
    <w:abstractNumId w:val="2305370"/>
  </w:num>
  <w:num w:numId="51">
    <w:abstractNumId w:val="2305371"/>
  </w:num>
  <w:num w:numId="52">
    <w:abstractNumId w:val="2305372"/>
  </w:num>
  <w:num w:numId="53">
    <w:abstractNumId w:val="2305373"/>
  </w:num>
  <w:num w:numId="54">
    <w:abstractNumId w:val="2305374"/>
  </w:num>
  <w:num w:numId="55">
    <w:abstractNumId w:val="2305375"/>
  </w:num>
  <w:num w:numId="56">
    <w:abstractNumId w:val="2305376"/>
  </w:num>
  <w:num w:numId="57">
    <w:abstractNumId w:val="2305377"/>
  </w:num>
  <w:num w:numId="58">
    <w:abstractNumId w:val="2305378"/>
  </w:num>
  <w:num w:numId="59">
    <w:abstractNumId w:val="2305379"/>
  </w:num>
  <w:num w:numId="60">
    <w:abstractNumId w:val="2305380"/>
  </w:num>
  <w:num w:numId="61">
    <w:abstractNumId w:val="2305381"/>
  </w:num>
  <w:num w:numId="62">
    <w:abstractNumId w:val="2305382"/>
  </w:num>
  <w:num w:numId="63">
    <w:abstractNumId w:val="2305383"/>
  </w:num>
  <w:num w:numId="64">
    <w:abstractNumId w:val="2305384"/>
  </w:num>
  <w:num w:numId="65">
    <w:abstractNumId w:val="2305385"/>
  </w:num>
  <w:num w:numId="66">
    <w:abstractNumId w:val="2305386"/>
  </w:num>
  <w:num w:numId="67">
    <w:abstractNumId w:val="2305387"/>
  </w:num>
  <w:num w:numId="68">
    <w:abstractNumId w:val="2305388"/>
  </w:num>
  <w:num w:numId="69">
    <w:abstractNumId w:val="2305389"/>
  </w:num>
  <w:num w:numId="70">
    <w:abstractNumId w:val="2305390"/>
  </w:num>
  <w:num w:numId="71">
    <w:abstractNumId w:val="2305391"/>
  </w:num>
  <w:num w:numId="72">
    <w:abstractNumId w:val="2305392"/>
  </w:num>
  <w:num w:numId="73">
    <w:abstractNumId w:val="2305393"/>
  </w:num>
  <w:num w:numId="74">
    <w:abstractNumId w:val="2305394"/>
  </w:num>
  <w:num w:numId="75">
    <w:abstractNumId w:val="2305395"/>
  </w:num>
  <w:num w:numId="76">
    <w:abstractNumId w:val="2305396"/>
  </w:num>
  <w:num w:numId="77">
    <w:abstractNumId w:val="2305397"/>
  </w:num>
  <w:num w:numId="78">
    <w:abstractNumId w:val="2305398"/>
  </w:num>
  <w:num w:numId="79">
    <w:abstractNumId w:val="2305399"/>
  </w:num>
  <w:num w:numId="80">
    <w:abstractNumId w:val="2305400"/>
  </w:num>
  <w:num w:numId="81">
    <w:abstractNumId w:val="2305401"/>
  </w:num>
  <w:num w:numId="82">
    <w:abstractNumId w:val="2305402"/>
  </w:num>
  <w:num w:numId="83">
    <w:abstractNumId w:val="2305403"/>
  </w:num>
  <w:num w:numId="84">
    <w:abstractNumId w:val="2305404"/>
  </w:num>
  <w:num w:numId="85">
    <w:abstractNumId w:val="2305405"/>
  </w:num>
  <w:num w:numId="86">
    <w:abstractNumId w:val="2305406"/>
  </w:num>
  <w:num w:numId="87">
    <w:abstractNumId w:val="2305407"/>
  </w:num>
  <w:num w:numId="88">
    <w:abstractNumId w:val="2305408"/>
  </w:num>
  <w:num w:numId="89">
    <w:abstractNumId w:val="2305409"/>
  </w:num>
  <w:num w:numId="90">
    <w:abstractNumId w:val="2305410"/>
  </w:num>
  <w:num w:numId="91">
    <w:abstractNumId w:val="2305411"/>
  </w:num>
  <w:num w:numId="92">
    <w:abstractNumId w:val="2305412"/>
  </w:num>
  <w:num w:numId="93">
    <w:abstractNumId w:val="2305413"/>
  </w:num>
  <w:num w:numId="94">
    <w:abstractNumId w:val="2305414"/>
  </w:num>
  <w:num w:numId="95">
    <w:abstractNumId w:val="2305415"/>
  </w:num>
  <w:num w:numId="96">
    <w:abstractNumId w:val="2305416"/>
  </w:num>
  <w:num w:numId="97">
    <w:abstractNumId w:val="2305417"/>
  </w:num>
  <w:num w:numId="98">
    <w:abstractNumId w:val="2305418"/>
  </w:num>
  <w:num w:numId="99">
    <w:abstractNumId w:val="2305419"/>
  </w:num>
  <w:num w:numId="100">
    <w:abstractNumId w:val="2305420"/>
  </w:num>
  <w:num w:numId="101">
    <w:abstractNumId w:val="2305421"/>
  </w:num>
  <w:num w:numId="102">
    <w:abstractNumId w:val="2305422"/>
  </w:num>
  <w:num w:numId="103">
    <w:abstractNumId w:val="2305423"/>
  </w:num>
  <w:num w:numId="104">
    <w:abstractNumId w:val="2305424"/>
  </w:num>
  <w:num w:numId="105">
    <w:abstractNumId w:val="2305425"/>
  </w:num>
  <w:num w:numId="106">
    <w:abstractNumId w:val="2305426"/>
  </w:num>
  <w:num w:numId="107">
    <w:abstractNumId w:val="2305427"/>
  </w:num>
  <w:num w:numId="108">
    <w:abstractNumId w:val="2305428"/>
  </w:num>
  <w:num w:numId="109">
    <w:abstractNumId w:val="2305429"/>
  </w:num>
  <w:num w:numId="110">
    <w:abstractNumId w:val="2305430"/>
  </w:num>
  <w:num w:numId="111">
    <w:abstractNumId w:val="2305431"/>
  </w:num>
  <w:num w:numId="112">
    <w:abstractNumId w:val="2305432"/>
  </w:num>
  <w:num w:numId="113">
    <w:abstractNumId w:val="2305433"/>
  </w:num>
  <w:num w:numId="114">
    <w:abstractNumId w:val="2305434"/>
  </w:num>
  <w:num w:numId="115">
    <w:abstractNumId w:val="2305435"/>
  </w:num>
  <w:num w:numId="116">
    <w:abstractNumId w:val="2305436"/>
  </w:num>
  <w:num w:numId="117">
    <w:abstractNumId w:val="2305437"/>
  </w:num>
  <w:num w:numId="118">
    <w:abstractNumId w:val="2305438"/>
  </w:num>
  <w:num w:numId="119">
    <w:abstractNumId w:val="2305439"/>
  </w:num>
  <w:num w:numId="120">
    <w:abstractNumId w:val="2305440"/>
  </w:num>
  <w:num w:numId="121">
    <w:abstractNumId w:val="2305441"/>
  </w:num>
  <w:num w:numId="122">
    <w:abstractNumId w:val="2305442"/>
  </w:num>
  <w:num w:numId="123">
    <w:abstractNumId w:val="2305443"/>
  </w:num>
  <w:num w:numId="124">
    <w:abstractNumId w:val="2305444"/>
  </w:num>
  <w:num w:numId="125">
    <w:abstractNumId w:val="2305445"/>
  </w:num>
  <w:num w:numId="126">
    <w:abstractNumId w:val="2305446"/>
  </w:num>
  <w:num w:numId="127">
    <w:abstractNumId w:val="2305447"/>
  </w:num>
  <w:num w:numId="128">
    <w:abstractNumId w:val="2305448"/>
  </w:num>
  <w:num w:numId="129">
    <w:abstractNumId w:val="2305449"/>
  </w:num>
  <w:num w:numId="130">
    <w:abstractNumId w:val="2305450"/>
  </w:num>
  <w:num w:numId="131">
    <w:abstractNumId w:val="2305451"/>
  </w:num>
  <w:num w:numId="132">
    <w:abstractNumId w:val="2305452"/>
  </w:num>
  <w:num w:numId="133">
    <w:abstractNumId w:val="230545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2025-12-30T09:28:40Z</dcterms:created>
  <dc:creator>Apache POI</dc:creator>
</cp:coreProperties>
</file>