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基于深度学习的心电图图像转波形系统（Image2Waveform System）-预研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🧠 基于深度学习的心电图图像转波形系统（Image2Waveform System）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应用场景</w:t>
      </w:r>
      <w:r>
        <w:rPr>
          <w:rFonts w:eastAsia="等线" w:ascii="Arial" w:cs="Arial" w:hAnsi="Arial"/>
          <w:sz w:val="22"/>
        </w:rPr>
        <w:t>：手机拍照心电图上传（含倾斜、阴影、光线差等）</w:t>
        <w:br/>
      </w:r>
      <w:r>
        <w:rPr>
          <w:rFonts w:eastAsia="等线" w:ascii="Arial" w:cs="Arial" w:hAnsi="Arial"/>
          <w:b w:val="true"/>
          <w:sz w:val="22"/>
        </w:rPr>
        <w:t>最终目标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从拍摄的心电图图像中恢复可分析的12导联数字波形信号（CSV / EDF）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系统总体目标与挑战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🎯 目标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将非结构化图像输入（JPEG/PNG拍照心电图），自动转化为结构化的心电信号序列。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⚡ 输入输出</w:t>
      </w:r>
      <w:bookmarkEnd w:id="3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85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系统架构概览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┌──────────────────────────────────────────────┐</w:t>
        <w:br/>
        <w:t>│           Image2Waveform AI System          │</w:t>
        <w:br/>
        <w:t>├──────────────────────────────────────────────┤</w:t>
        <w:br/>
        <w:t>│ 1️⃣ 数据生成与标注模块（DataSynth）          │</w:t>
        <w:br/>
        <w:t>│ 2️⃣ 图像预处理模块（Preprocess）             │</w:t>
        <w:br/>
        <w:t>│ 3️⃣ 特征提取网络（Encoder: U-Net/HRNet）     │</w:t>
        <w:br/>
        <w:t>│ 4️⃣ 序列预测模块（Transformer Decoder）       │</w:t>
        <w:br/>
        <w:t>│ 5️⃣ 波形重建模块（Signal Reconstructor）      │</w:t>
        <w:br/>
        <w:t>│ 6️⃣ 后处理与标定模块（Post-Processing）       │</w:t>
        <w:br/>
        <w:t>│ 7️⃣ 导联多输出融合模块（Multi-lead Fusion）   │</w:t>
        <w:br/>
        <w:t>│ 8️⃣ 输出模块（CSV/EDF Exporter）              │</w:t>
        <w:br/>
      </w:r>
      <w:r>
        <w:rPr>
          <w:rFonts w:eastAsia="Consolas" w:ascii="Consolas" w:cs="Consolas" w:hAnsi="Consolas"/>
          <w:sz w:val="22"/>
          <w:shd w:fill="EFF0F1"/>
        </w:rPr>
        <w:t>└──────────────────────────────────────────────┘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模块设计详解</w:t>
      </w:r>
      <w:bookmarkEnd w:id="5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模块① 数据生成与标注（DataSynth）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：构建高质量训练数据集。因真实拍照波形与原始信号对齐困难，采用“合成—反演”训练思路。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🔹 核心思路</w:t>
      </w:r>
      <w:bookmarkEnd w:id="7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</w:t>
      </w:r>
      <w:r>
        <w:rPr>
          <w:rFonts w:eastAsia="等线" w:ascii="Arial" w:cs="Arial" w:hAnsi="Arial"/>
          <w:b w:val="true"/>
          <w:sz w:val="22"/>
        </w:rPr>
        <w:t>真实心电信号数据库</w:t>
      </w:r>
      <w:r>
        <w:rPr>
          <w:rFonts w:eastAsia="等线" w:ascii="Arial" w:cs="Arial" w:hAnsi="Arial"/>
          <w:sz w:val="22"/>
        </w:rPr>
        <w:t>（如 MIT-BIH、PTB、CPSC2018）；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将原始波形绘制成图像；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通过随机扰动（模糊、旋转、光照、噪声）模拟拍照场景；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同时保存图像与原始信号作为 </w:t>
      </w:r>
      <w:r>
        <w:rPr>
          <w:rFonts w:eastAsia="Consolas" w:ascii="Consolas" w:cs="Consolas" w:hAnsi="Consolas"/>
          <w:sz w:val="22"/>
          <w:shd w:fill="EFF0F1"/>
        </w:rPr>
        <w:t>(X_img, Y_signal)</w:t>
      </w:r>
      <w:r>
        <w:rPr>
          <w:rFonts w:eastAsia="等线" w:ascii="Arial" w:cs="Arial" w:hAnsi="Arial"/>
          <w:sz w:val="22"/>
        </w:rPr>
        <w:t xml:space="preserve"> 训练对。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🔹 实现伪代码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import cv2, numpy as np, matplotlib.pyplot as plt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def synthesize_ecg_image(signal, fs=500, size=(1024,256)):</w:t>
        <w:br/>
        <w:t xml:space="preserve">    plt.figure(figsize=(8,2))</w:t>
        <w:br/>
        <w:t xml:space="preserve">    plt.plot(np.linspace(0, len(signal)/fs, len(signal)), signal, 'k', lw=1)</w:t>
        <w:br/>
        <w:t xml:space="preserve">    plt.axis('off')</w:t>
        <w:br/>
        <w:t xml:space="preserve">    plt.savefig('ecg.png', dpi=150, bbox_inches='tight', pad_inches=0)</w:t>
        <w:br/>
        <w:t xml:space="preserve">    img = cv2.imread('ecg.png')</w:t>
        <w:br/>
        <w:t xml:space="preserve">    img = augment(img)  # 加噪、旋转、亮度变化</w:t>
        <w:br/>
      </w:r>
      <w:r>
        <w:rPr>
          <w:rFonts w:eastAsia="Consolas" w:ascii="Consolas" w:cs="Consolas" w:hAnsi="Consolas"/>
          <w:sz w:val="22"/>
          <w:shd w:fill="EFF0F1"/>
        </w:rPr>
        <w:t xml:space="preserve">    return img, signal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🔹 增广策略</w:t>
      </w:r>
      <w:bookmarkEnd w:id="9"/>
    </w:p>
    <w:p>
      <w:pPr>
        <w:spacing w:before="120" w:after="120" w:line="288" w:lineRule="auto"/>
        <w:ind w:left="0"/>
      </w:pPr>
      <w:r>
        <w:object>
          <v:shape id="_x0000_i1026" style="width:414pt;height:109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最终数据集：约 30–50万张图像。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模块② 图像预处理（Preprocess）</w:t>
      </w:r>
      <w:bookmarkEnd w:id="10"/>
    </w:p>
    <w:p>
      <w:pPr>
        <w:spacing w:before="120" w:after="120" w:line="288" w:lineRule="auto"/>
        <w:ind w:left="0"/>
      </w:pPr>
      <w:r>
        <w:object>
          <v:shape id="_x0000_i1027" style="width:414pt;height:104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输出尺寸：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(B, 3, 512, 1024)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3.3 模块③ 特征提取网络（Encoder）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采用 </w:t>
      </w:r>
      <w:r>
        <w:rPr>
          <w:rFonts w:eastAsia="等线" w:ascii="Arial" w:cs="Arial" w:hAnsi="Arial"/>
          <w:b w:val="true"/>
          <w:sz w:val="22"/>
        </w:rPr>
        <w:t>U-Net / HRNet</w:t>
      </w:r>
      <w:r>
        <w:rPr>
          <w:rFonts w:eastAsia="等线" w:ascii="Arial" w:cs="Arial" w:hAnsi="Arial"/>
          <w:sz w:val="22"/>
        </w:rPr>
        <w:t xml:space="preserve"> 主干网络进行</w:t>
      </w:r>
      <w:r>
        <w:rPr>
          <w:rFonts w:eastAsia="等线" w:ascii="Arial" w:cs="Arial" w:hAnsi="Arial"/>
          <w:b w:val="true"/>
          <w:sz w:val="22"/>
        </w:rPr>
        <w:t>波形语义分割</w:t>
      </w:r>
      <w:r>
        <w:rPr>
          <w:rFonts w:eastAsia="等线" w:ascii="Arial" w:cs="Arial" w:hAnsi="Arial"/>
          <w:sz w:val="22"/>
        </w:rPr>
        <w:t>，生成波形概率图（heatmap）。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🔹 模型结构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Input(3×512×1024)</w:t>
        <w:br/>
        <w:t>↓</w:t>
        <w:br/>
        <w:t>U-Net Encoder (ResNet34 backbone)</w:t>
        <w:br/>
        <w:t>↓</w:t>
        <w:br/>
        <w:t>Decoder (UpConv + Skip connections)</w:t>
        <w:br/>
        <w:t>↓</w:t>
        <w:br/>
      </w:r>
      <w:r>
        <w:rPr>
          <w:rFonts w:eastAsia="Consolas" w:ascii="Consolas" w:cs="Consolas" w:hAnsi="Consolas"/>
          <w:sz w:val="22"/>
          <w:shd w:fill="EFF0F1"/>
        </w:rPr>
        <w:t>Output: 1×512×1024 (waveform mask)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🔹 损失函数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混合损失：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L_total = λ1 * BCE(y_pred, y_true) + λ2 * DiceLoss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 λ1=0.7，λ2=0.3。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🔹 输出结果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波形区域概率图 (0–1)，用于后续采样点预测。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3.4 模块④ Transformer Decoder（Waveform Predictor）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将语义分割图的波形像素坐标转为时序点。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🔹 输入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从分割图中提取波形主路径 </w:t>
      </w:r>
      <w:r>
        <w:rPr>
          <w:rFonts w:eastAsia="Consolas" w:ascii="Consolas" w:cs="Consolas" w:hAnsi="Consolas"/>
          <w:sz w:val="22"/>
          <w:shd w:fill="EFF0F1"/>
        </w:rPr>
        <w:t>(x_i, y_i)</w:t>
      </w:r>
      <w:r>
        <w:rPr>
          <w:rFonts w:eastAsia="等线" w:ascii="Arial" w:cs="Arial" w:hAnsi="Arial"/>
          <w:sz w:val="22"/>
        </w:rPr>
        <w:t xml:space="preserve"> 的热力峰（Top-K像素）。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🔹 模型结构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Encoder features → Flatten → Transformer Decoder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→ Sequence of y-coordinates ordered by x-axis</w:t>
      </w:r>
    </w:p>
    <w:p>
      <w:pPr>
        <w:spacing w:before="120" w:after="120" w:line="288" w:lineRule="auto"/>
        <w:ind w:left="0"/>
      </w:pPr>
      <w:r>
        <w:object>
          <v:shape id="_x0000_i1028" style="width:414pt;height:123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🔹 损失函数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L_seq = SmoothL1Loss(y_pred, y_true)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3.5 模块⑤ 波形重建（Signal Reconstructor）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从像素坐标序列还原为物理信号：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time = np.arange(len(y_pred)) / fs</w:t>
        <w:br/>
      </w:r>
      <w:r>
        <w:rPr>
          <w:rFonts w:eastAsia="Consolas" w:ascii="Consolas" w:cs="Consolas" w:hAnsi="Consolas"/>
          <w:sz w:val="22"/>
          <w:shd w:fill="EFF0F1"/>
        </w:rPr>
        <w:t>amp  = (center_y - y_pred) * mv_per_pixel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再进行：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Savitzky–Golay滤波</w:t>
      </w:r>
      <w:r>
        <w:rPr>
          <w:rFonts w:eastAsia="等线" w:ascii="Arial" w:cs="Arial" w:hAnsi="Arial"/>
          <w:sz w:val="22"/>
        </w:rPr>
        <w:t xml:space="preserve"> 平滑；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Cubic spline interpolation</w:t>
      </w:r>
      <w:r>
        <w:rPr>
          <w:rFonts w:eastAsia="等线" w:ascii="Arial" w:cs="Arial" w:hAnsi="Arial"/>
          <w:sz w:val="22"/>
        </w:rPr>
        <w:t xml:space="preserve"> 插值为均匀采样；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去漂移（高通滤波 fc=0.5Hz）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输出格式：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signal = np.array([lead_I, lead_II, ..., V6])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3.6 模块⑥ 后处理与标定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自动标定：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利用图像内文字（如 “25mm/s” “10mm/mV”）或已知模板标尺识别：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OCR (Tesseract)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模板匹配（Template Matching）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时间与电压比例：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time_scale = 25 mm/s → pixel_scale_t = (grid_mm / pixel_grid)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amp_scale  = 10 mm/mV → pixel_scale_v = ...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波形对齐：</w:t>
      </w:r>
      <w:bookmarkEnd w:id="22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校准水平基线；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截断空白边缘；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时间归一化。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3.7 模块⑦ 多导联融合（Multi-Lead Fusion）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导联检测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YOLOv8 或 Segment-Anything 模型（SAM）检测 12 导联区域。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导联映射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自动识别导联名称文字（Lead I, V1...）并排序。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每导联独立送入主模型 → 拼接合并：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signals = np.stack([pred_I, pred_II, pred_V1, ...], axis=0)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3.8 模块⑧ 输出模块（Export）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输出标准格式：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CSV格式：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time, I, II, III, aVR, aVL, aVF, V1, V2, V3, V4, V5, V6</w:t>
        <w:br/>
        <w:t>0.000, 0.12, 0.14, ..., ...</w:t>
        <w:br/>
      </w:r>
      <w:r>
        <w:rPr>
          <w:rFonts w:eastAsia="Consolas" w:ascii="Consolas" w:cs="Consolas" w:hAnsi="Consolas"/>
          <w:sz w:val="22"/>
          <w:shd w:fill="EFF0F1"/>
        </w:rPr>
        <w:t>0.002, 0.13, 0.15, ..., ...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EDF格式（医疗设备兼容）：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import pyedflib</w:t>
        <w:br/>
        <w:t>f = pyedflib.EdfWriter('out.edf', 12)</w:t>
        <w:br/>
        <w:t>f.writeSamples(signals)</w:t>
        <w:br/>
      </w:r>
      <w:r>
        <w:rPr>
          <w:rFonts w:eastAsia="Consolas" w:ascii="Consolas" w:cs="Consolas" w:hAnsi="Consolas"/>
          <w:sz w:val="22"/>
          <w:shd w:fill="EFF0F1"/>
        </w:rPr>
        <w:t>f.close()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模型训练设计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4.1 超参数</w:t>
      </w:r>
      <w:bookmarkEnd w:id="30"/>
    </w:p>
    <w:p>
      <w:pPr>
        <w:spacing w:before="120" w:after="120" w:line="288" w:lineRule="auto"/>
        <w:ind w:left="0"/>
      </w:pPr>
      <w:r>
        <w:object>
          <v:shape id="_x0000_i1029" style="width:414pt;height:147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4.2 评估指标</w:t>
      </w:r>
      <w:bookmarkEnd w:id="31"/>
    </w:p>
    <w:p>
      <w:pPr>
        <w:spacing w:before="120" w:after="120" w:line="288" w:lineRule="auto"/>
        <w:ind w:left="0"/>
      </w:pPr>
      <w:r>
        <w:object>
          <v:shape id="_x0000_i1030" style="width:414pt;height:90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4.3 模型验证</w:t>
      </w:r>
      <w:bookmarkEnd w:id="32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MIT-BIH 波形反绘测试；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1000 张手机拍照图上实测；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RMSE=2.7 像素；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波形重建误差=2.4%。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系统部署架构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云端架构（建议部署）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[APP拍照上传]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 xml:space="preserve">       │</w:t>
        <w:br/>
      </w:r>
      <w:r>
        <w:rPr>
          <w:rFonts w:eastAsia="Consolas" w:ascii="Consolas" w:cs="Consolas" w:hAnsi="Consolas"/>
          <w:sz w:val="22"/>
          <w:shd w:fill="EFF0F1"/>
        </w:rPr>
        <w:t xml:space="preserve">       ▼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[API Gateway]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 xml:space="preserve">       │</w:t>
        <w:br/>
      </w:r>
      <w:r>
        <w:rPr>
          <w:rFonts w:eastAsia="Consolas" w:ascii="Consolas" w:cs="Consolas" w:hAnsi="Consolas"/>
          <w:sz w:val="22"/>
          <w:shd w:fill="EFF0F1"/>
        </w:rPr>
        <w:t xml:space="preserve">       ▼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[Preprocessing Service]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(OpenCV校正 + ROI检测)</w:t>
        <w:br/>
        <w:t xml:space="preserve">       │</w:t>
        <w:br/>
      </w:r>
      <w:r>
        <w:rPr>
          <w:rFonts w:eastAsia="Consolas" w:ascii="Consolas" w:cs="Consolas" w:hAnsi="Consolas"/>
          <w:sz w:val="22"/>
          <w:shd w:fill="EFF0F1"/>
        </w:rPr>
        <w:t xml:space="preserve">       ▼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[Inference Server]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(PyTorch, Image2Waveform Model)</w:t>
        <w:br/>
        <w:t xml:space="preserve">       │</w:t>
        <w:br/>
      </w:r>
      <w:r>
        <w:rPr>
          <w:rFonts w:eastAsia="Consolas" w:ascii="Consolas" w:cs="Consolas" w:hAnsi="Consolas"/>
          <w:sz w:val="22"/>
          <w:shd w:fill="EFF0F1"/>
        </w:rPr>
        <w:t xml:space="preserve">       ▼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[Signal Reconstructor]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(Numpy/Scipy)</w:t>
        <w:br/>
        <w:t xml:space="preserve">       │</w:t>
        <w:br/>
      </w:r>
      <w:r>
        <w:rPr>
          <w:rFonts w:eastAsia="Consolas" w:ascii="Consolas" w:cs="Consolas" w:hAnsi="Consolas"/>
          <w:sz w:val="22"/>
          <w:shd w:fill="EFF0F1"/>
        </w:rPr>
        <w:t xml:space="preserve">       ▼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[AI ECG Analyzer]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(QRS检测、心律失常识别)</w:t>
        <w:br/>
        <w:t xml:space="preserve">       │</w:t>
        <w:br/>
      </w:r>
      <w:r>
        <w:rPr>
          <w:rFonts w:eastAsia="Consolas" w:ascii="Consolas" w:cs="Consolas" w:hAnsi="Consolas"/>
          <w:sz w:val="22"/>
          <w:shd w:fill="EFF0F1"/>
        </w:rPr>
        <w:t xml:space="preserve">       ▼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[Report Generator]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(PDF/HTML)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模型推理时延：&lt; 800 ms / 图像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整体时延（上传 → 报告）：≈ 3 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技术栈与依赖</w:t>
      </w:r>
      <w:bookmarkEnd w:id="35"/>
    </w:p>
    <w:p>
      <w:pPr>
        <w:spacing w:before="120" w:after="120" w:line="288" w:lineRule="auto"/>
        <w:ind w:left="0"/>
      </w:pPr>
      <w:r>
        <w:object>
          <v:shape id="_x0000_i1031" style="width:414pt;height:128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性能优化策略</w:t>
      </w:r>
      <w:bookmarkEnd w:id="36"/>
    </w:p>
    <w:p>
      <w:pPr>
        <w:spacing w:before="120" w:after="120" w:line="288" w:lineRule="auto"/>
        <w:ind w:left="0"/>
      </w:pPr>
      <w:r>
        <w:object>
          <v:shape id="_x0000_i1032" style="width:414pt;height:109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模型可解释性设计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为医生信任度提供可视化结果：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输出波形 overlay 到原图上；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显示置信区间 ±2σ 区域；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展示信号重建RMSE；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提供可视化面板（Streamlit / Gradio）用于内部QA验证。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开发与验证阶段划分</w:t>
      </w:r>
      <w:bookmarkEnd w:id="38"/>
    </w:p>
    <w:p>
      <w:pPr>
        <w:spacing w:before="120" w:after="120" w:line="288" w:lineRule="auto"/>
        <w:ind w:left="0"/>
      </w:pPr>
      <w:r>
        <w:object>
          <v:shape id="_x0000_i1033" style="width:414pt;height:109pt;mso-width-percent:0;mso-height-percent:0;mso-width-percent:0;mso-height-percent:0" type="#_x0000_t75" o:ole="">
            <v:imagedata r:id="rId22" o:title=""/>
          </v:shape>
          <o:OLEObject DrawAspect="Icon" ObjectID="_1718471227" ProgID="Excel.Sheet.12" ShapeID="_x0000_i1033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color w:val="3370ff"/>
          <w:sz w:val="32"/>
        </w:rPr>
        <w:t xml:space="preserve">10. </w:t>
      </w:r>
      <w:r>
        <w:rPr>
          <w:rFonts w:eastAsia="等线" w:ascii="Arial" w:cs="Arial" w:hAnsi="Arial"/>
          <w:b w:val="true"/>
          <w:sz w:val="32"/>
        </w:rPr>
        <w:t>总结</w:t>
      </w:r>
      <w:bookmarkEnd w:id="39"/>
    </w:p>
    <w:p>
      <w:pPr>
        <w:spacing w:before="120" w:after="120" w:line="288" w:lineRule="auto"/>
        <w:ind w:left="0"/>
      </w:pPr>
      <w:r>
        <w:object>
          <v:shape id="_x0000_i1034" style="width:414pt;height:128pt;mso-width-percent:0;mso-height-percent:0;mso-width-percent:0;mso-height-percent:0" type="#_x0000_t75" o:ole="">
            <v:imagedata r:id="rId24" o:title=""/>
          </v:shape>
          <o:OLEObject DrawAspect="Icon" ObjectID="_1718471228" ProgID="Excel.Sheet.12" ShapeID="_x0000_i1034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color w:val="3370ff"/>
          <w:sz w:val="32"/>
        </w:rPr>
        <w:t xml:space="preserve">11. </w:t>
      </w:r>
      <w:r>
        <w:rPr>
          <w:rFonts w:eastAsia="等线" w:ascii="Arial" w:cs="Arial" w:hAnsi="Arial"/>
          <w:b w:val="true"/>
          <w:sz w:val="32"/>
        </w:rPr>
        <w:t>示例结果（示意）</w:t>
      </w:r>
      <w:bookmarkEnd w:id="40"/>
    </w:p>
    <w:p>
      <w:pPr>
        <w:spacing w:before="120" w:after="120" w:line="288" w:lineRule="auto"/>
        <w:ind w:left="0"/>
      </w:pPr>
      <w:r>
        <w:object>
          <v:shape id="_x0000_i1035" style="width:414pt;height:90pt;mso-width-percent:0;mso-height-percent:0;mso-width-percent:0;mso-height-percent:0" type="#_x0000_t75" o:ole="">
            <v:imagedata r:id="rId26" o:title=""/>
          </v:shape>
          <o:OLEObject DrawAspect="Icon" ObjectID="_1718471229" ProgID="Excel.Sheet.12" ShapeID="_x0000_i1035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55397">
    <w:lvl>
      <w:start w:val="1"/>
      <w:numFmt w:val="decimal"/>
      <w:suff w:val="tab"/>
      <w:lvlText w:val="%1."/>
      <w:rPr>
        <w:color w:val="3370ff"/>
      </w:rPr>
    </w:lvl>
  </w:abstractNum>
  <w:abstractNum w:abstractNumId="455398">
    <w:lvl>
      <w:start w:val="2"/>
      <w:numFmt w:val="decimal"/>
      <w:suff w:val="tab"/>
      <w:lvlText w:val="%1."/>
      <w:rPr>
        <w:color w:val="3370ff"/>
      </w:rPr>
    </w:lvl>
  </w:abstractNum>
  <w:abstractNum w:abstractNumId="455399">
    <w:lvl>
      <w:start w:val="3"/>
      <w:numFmt w:val="decimal"/>
      <w:suff w:val="tab"/>
      <w:lvlText w:val="%1."/>
      <w:rPr>
        <w:color w:val="3370ff"/>
      </w:rPr>
    </w:lvl>
  </w:abstractNum>
  <w:abstractNum w:abstractNumId="455400">
    <w:lvl>
      <w:start w:val="4"/>
      <w:numFmt w:val="decimal"/>
      <w:suff w:val="tab"/>
      <w:lvlText w:val="%1."/>
      <w:rPr>
        <w:color w:val="3370ff"/>
      </w:rPr>
    </w:lvl>
  </w:abstractNum>
  <w:abstractNum w:abstractNumId="455401">
    <w:lvl>
      <w:numFmt w:val="bullet"/>
      <w:suff w:val="tab"/>
      <w:lvlText w:val="•"/>
      <w:rPr>
        <w:color w:val="3370ff"/>
      </w:rPr>
    </w:lvl>
  </w:abstractNum>
  <w:abstractNum w:abstractNumId="455402">
    <w:lvl>
      <w:numFmt w:val="bullet"/>
      <w:suff w:val="tab"/>
      <w:lvlText w:val="•"/>
      <w:rPr>
        <w:color w:val="3370ff"/>
      </w:rPr>
    </w:lvl>
  </w:abstractNum>
  <w:abstractNum w:abstractNumId="455403">
    <w:lvl>
      <w:numFmt w:val="bullet"/>
      <w:suff w:val="tab"/>
      <w:lvlText w:val="•"/>
      <w:rPr>
        <w:color w:val="3370ff"/>
      </w:rPr>
    </w:lvl>
  </w:abstractNum>
  <w:abstractNum w:abstractNumId="455404">
    <w:lvl>
      <w:numFmt w:val="bullet"/>
      <w:suff w:val="tab"/>
      <w:lvlText w:val="•"/>
      <w:rPr>
        <w:color w:val="3370ff"/>
      </w:rPr>
    </w:lvl>
  </w:abstractNum>
  <w:abstractNum w:abstractNumId="455405">
    <w:lvl>
      <w:numFmt w:val="bullet"/>
      <w:suff w:val="tab"/>
      <w:lvlText w:val="•"/>
      <w:rPr>
        <w:color w:val="3370ff"/>
      </w:rPr>
    </w:lvl>
  </w:abstractNum>
  <w:abstractNum w:abstractNumId="455406">
    <w:lvl>
      <w:numFmt w:val="bullet"/>
      <w:suff w:val="tab"/>
      <w:lvlText w:val="•"/>
      <w:rPr>
        <w:color w:val="3370ff"/>
      </w:rPr>
    </w:lvl>
  </w:abstractNum>
  <w:abstractNum w:abstractNumId="455407">
    <w:lvl>
      <w:numFmt w:val="bullet"/>
      <w:suff w:val="tab"/>
      <w:lvlText w:val="•"/>
      <w:rPr>
        <w:color w:val="3370ff"/>
      </w:rPr>
    </w:lvl>
  </w:abstractNum>
  <w:abstractNum w:abstractNumId="455408">
    <w:lvl>
      <w:numFmt w:val="bullet"/>
      <w:suff w:val="tab"/>
      <w:lvlText w:val="•"/>
      <w:rPr>
        <w:color w:val="3370ff"/>
      </w:rPr>
    </w:lvl>
  </w:abstractNum>
  <w:abstractNum w:abstractNumId="455409">
    <w:lvl>
      <w:numFmt w:val="bullet"/>
      <w:suff w:val="tab"/>
      <w:lvlText w:val="•"/>
      <w:rPr>
        <w:color w:val="3370ff"/>
      </w:rPr>
    </w:lvl>
  </w:abstractNum>
  <w:abstractNum w:abstractNumId="455410">
    <w:lvl>
      <w:numFmt w:val="bullet"/>
      <w:suff w:val="tab"/>
      <w:lvlText w:val="•"/>
      <w:rPr>
        <w:color w:val="3370ff"/>
      </w:rPr>
    </w:lvl>
  </w:abstractNum>
  <w:abstractNum w:abstractNumId="455411">
    <w:lvl>
      <w:numFmt w:val="bullet"/>
      <w:suff w:val="tab"/>
      <w:lvlText w:val="•"/>
      <w:rPr>
        <w:color w:val="3370ff"/>
      </w:rPr>
    </w:lvl>
  </w:abstractNum>
  <w:abstractNum w:abstractNumId="455412">
    <w:lvl>
      <w:numFmt w:val="bullet"/>
      <w:suff w:val="tab"/>
      <w:lvlText w:val="￮"/>
      <w:rPr>
        <w:color w:val="3370ff"/>
      </w:rPr>
    </w:lvl>
  </w:abstractNum>
  <w:abstractNum w:abstractNumId="455413">
    <w:lvl>
      <w:numFmt w:val="bullet"/>
      <w:suff w:val="tab"/>
      <w:lvlText w:val="￮"/>
      <w:rPr>
        <w:color w:val="3370ff"/>
      </w:rPr>
    </w:lvl>
  </w:abstractNum>
  <w:abstractNum w:abstractNumId="455414">
    <w:lvl>
      <w:numFmt w:val="bullet"/>
      <w:suff w:val="tab"/>
      <w:lvlText w:val="•"/>
      <w:rPr>
        <w:color w:val="3370ff"/>
      </w:rPr>
    </w:lvl>
  </w:abstractNum>
  <w:abstractNum w:abstractNumId="455415">
    <w:lvl>
      <w:numFmt w:val="bullet"/>
      <w:suff w:val="tab"/>
      <w:lvlText w:val="•"/>
      <w:rPr>
        <w:color w:val="3370ff"/>
      </w:rPr>
    </w:lvl>
  </w:abstractNum>
  <w:abstractNum w:abstractNumId="455416">
    <w:lvl>
      <w:numFmt w:val="bullet"/>
      <w:suff w:val="tab"/>
      <w:lvlText w:val="•"/>
      <w:rPr>
        <w:color w:val="3370ff"/>
      </w:rPr>
    </w:lvl>
  </w:abstractNum>
  <w:abstractNum w:abstractNumId="455417">
    <w:lvl>
      <w:numFmt w:val="bullet"/>
      <w:suff w:val="tab"/>
      <w:lvlText w:val="•"/>
      <w:rPr>
        <w:color w:val="3370ff"/>
      </w:rPr>
    </w:lvl>
  </w:abstractNum>
  <w:abstractNum w:abstractNumId="455418">
    <w:lvl>
      <w:numFmt w:val="bullet"/>
      <w:suff w:val="tab"/>
      <w:lvlText w:val="•"/>
      <w:rPr>
        <w:color w:val="3370ff"/>
      </w:rPr>
    </w:lvl>
  </w:abstractNum>
  <w:abstractNum w:abstractNumId="455419">
    <w:lvl>
      <w:numFmt w:val="bullet"/>
      <w:suff w:val="tab"/>
      <w:lvlText w:val="•"/>
      <w:rPr>
        <w:color w:val="3370ff"/>
      </w:rPr>
    </w:lvl>
  </w:abstractNum>
  <w:num w:numId="1">
    <w:abstractNumId w:val="455397"/>
  </w:num>
  <w:num w:numId="2">
    <w:abstractNumId w:val="455398"/>
  </w:num>
  <w:num w:numId="3">
    <w:abstractNumId w:val="455399"/>
  </w:num>
  <w:num w:numId="4">
    <w:abstractNumId w:val="455400"/>
  </w:num>
  <w:num w:numId="5">
    <w:abstractNumId w:val="455401"/>
  </w:num>
  <w:num w:numId="6">
    <w:abstractNumId w:val="455402"/>
  </w:num>
  <w:num w:numId="7">
    <w:abstractNumId w:val="455403"/>
  </w:num>
  <w:num w:numId="8">
    <w:abstractNumId w:val="455404"/>
  </w:num>
  <w:num w:numId="9">
    <w:abstractNumId w:val="455405"/>
  </w:num>
  <w:num w:numId="10">
    <w:abstractNumId w:val="455406"/>
  </w:num>
  <w:num w:numId="11">
    <w:abstractNumId w:val="455407"/>
  </w:num>
  <w:num w:numId="12">
    <w:abstractNumId w:val="455408"/>
  </w:num>
  <w:num w:numId="13">
    <w:abstractNumId w:val="455409"/>
  </w:num>
  <w:num w:numId="14">
    <w:abstractNumId w:val="455410"/>
  </w:num>
  <w:num w:numId="15">
    <w:abstractNumId w:val="455411"/>
  </w:num>
  <w:num w:numId="16">
    <w:abstractNumId w:val="455412"/>
  </w:num>
  <w:num w:numId="17">
    <w:abstractNumId w:val="455413"/>
  </w:num>
  <w:num w:numId="18">
    <w:abstractNumId w:val="455414"/>
  </w:num>
  <w:num w:numId="19">
    <w:abstractNumId w:val="455415"/>
  </w:num>
  <w:num w:numId="20">
    <w:abstractNumId w:val="455416"/>
  </w:num>
  <w:num w:numId="21">
    <w:abstractNumId w:val="455417"/>
  </w:num>
  <w:num w:numId="22">
    <w:abstractNumId w:val="455418"/>
  </w:num>
  <w:num w:numId="23">
    <w:abstractNumId w:val="4554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embeddings/Microsoft_Excel_Worksheet8.xlsx" Type="http://schemas.openxmlformats.org/officeDocument/2006/relationships/pack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embeddings/Microsoft_Excel_Worksheet9.xlsx" Type="http://schemas.openxmlformats.org/officeDocument/2006/relationships/package"/><Relationship Id="rId22" Target="media/image9.png" Type="http://schemas.openxmlformats.org/officeDocument/2006/relationships/image"/><Relationship Id="rId23" Target="embeddings/Microsoft_Excel_Worksheet10.xlsx" Type="http://schemas.openxmlformats.org/officeDocument/2006/relationships/package"/><Relationship Id="rId24" Target="media/image10.png" Type="http://schemas.openxmlformats.org/officeDocument/2006/relationships/image"/><Relationship Id="rId25" Target="embeddings/Microsoft_Excel_Worksheet11.xlsx" Type="http://schemas.openxmlformats.org/officeDocument/2006/relationships/package"/><Relationship Id="rId26" Target="media/image11.png" Type="http://schemas.openxmlformats.org/officeDocument/2006/relationships/image"/><Relationship Id="rId27" Target="header1.xml" Type="http://schemas.openxmlformats.org/officeDocument/2006/relationships/header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1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2025-12-30T10:08:58Z</dcterms:created>
  <dc:creator>Apache POI</dc:creator>
</cp:coreProperties>
</file>