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好络维-荣耀对接技术方案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业务背景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基于好络维与第三方对接经验，提供好络维</w:t>
      </w:r>
      <w:r>
        <w:rPr>
          <w:rFonts w:eastAsia="等线" w:ascii="Arial" w:cs="Arial" w:hAnsi="Arial"/>
          <w:sz w:val="22"/>
        </w:rPr>
        <w:t>心电解读</w:t>
      </w:r>
      <w:r>
        <w:rPr>
          <w:rFonts w:eastAsia="等线" w:ascii="Arial" w:cs="Arial" w:hAnsi="Arial"/>
          <w:sz w:val="22"/>
        </w:rPr>
        <w:t>服务的预想对接技术方案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目标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实现目标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sz w:val="22"/>
        </w:rPr>
        <w:t>荣耀心电数据提交到好络维进行心电分析和医生解读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2、荣耀与好络维对账结算；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方案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实现方案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荣耀APP嵌入好络维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， 好络维H5实现数据上传，分析，医生解读，分享，支付功能。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荣耀APP提供原生能力 （</w:t>
      </w:r>
      <w:r>
        <w:rPr>
          <w:rFonts w:eastAsia="等线" w:ascii="Arial" w:cs="Arial" w:hAnsi="Arial"/>
          <w:sz w:val="22"/>
        </w:rPr>
        <w:t>npm</w:t>
      </w:r>
      <w:r>
        <w:rPr>
          <w:rFonts w:eastAsia="等线" w:ascii="Arial" w:cs="Arial" w:hAnsi="Arial"/>
          <w:sz w:val="22"/>
        </w:rPr>
        <w:t xml:space="preserve"> 包）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用户授权能力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数据获取能力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微信支付能力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分享&amp;存储能力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导联栏控制能力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虚拟健控制能力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整体架构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上下游服务，子模块关系等。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业务流程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抽象和描述业务流程。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05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1.对接鉴权中心（荣耀账号中心鉴权、好络维鉴权中心）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2.用户授权 （荣耀开发中心创建应用，提供应用id 和 secret）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3.用户对接 （荣耀openId, 好络维userId,双方用户基本数据打通）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4.荣耀心电数据上报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5.获取分析结果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6.支付（荣耀订单id，好络维订单id ，双方订单数据打通）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7.查看医生解读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页面流程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核心页面流程。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62237">
    <w:lvl>
      <w:start w:val="1"/>
      <w:numFmt w:val="lowerLetter"/>
      <w:suff w:val="tab"/>
      <w:lvlText w:val="%1."/>
      <w:rPr>
        <w:color w:val="3370ff"/>
      </w:rPr>
    </w:lvl>
  </w:abstractNum>
  <w:abstractNum w:abstractNumId="562238">
    <w:lvl>
      <w:start w:val="2"/>
      <w:numFmt w:val="lowerLetter"/>
      <w:suff w:val="tab"/>
      <w:lvlText w:val="%1."/>
      <w:rPr>
        <w:color w:val="3370ff"/>
      </w:rPr>
    </w:lvl>
  </w:abstractNum>
  <w:abstractNum w:abstractNumId="562239">
    <w:lvl>
      <w:start w:val="3"/>
      <w:numFmt w:val="lowerLetter"/>
      <w:suff w:val="tab"/>
      <w:lvlText w:val="%1."/>
      <w:rPr>
        <w:color w:val="3370ff"/>
      </w:rPr>
    </w:lvl>
  </w:abstractNum>
  <w:abstractNum w:abstractNumId="562240">
    <w:lvl>
      <w:start w:val="4"/>
      <w:numFmt w:val="lowerLetter"/>
      <w:suff w:val="tab"/>
      <w:lvlText w:val="%1."/>
      <w:rPr>
        <w:color w:val="3370ff"/>
      </w:rPr>
    </w:lvl>
  </w:abstractNum>
  <w:abstractNum w:abstractNumId="562241">
    <w:lvl>
      <w:start w:val="5"/>
      <w:numFmt w:val="lowerLetter"/>
      <w:suff w:val="tab"/>
      <w:lvlText w:val="%1."/>
      <w:rPr>
        <w:color w:val="3370ff"/>
      </w:rPr>
    </w:lvl>
  </w:abstractNum>
  <w:abstractNum w:abstractNumId="562242">
    <w:lvl>
      <w:start w:val="6"/>
      <w:numFmt w:val="lowerLetter"/>
      <w:suff w:val="tab"/>
      <w:lvlText w:val="%1."/>
      <w:rPr>
        <w:color w:val="3370ff"/>
      </w:rPr>
    </w:lvl>
  </w:abstractNum>
  <w:num w:numId="1">
    <w:abstractNumId w:val="562237"/>
  </w:num>
  <w:num w:numId="2">
    <w:abstractNumId w:val="562238"/>
  </w:num>
  <w:num w:numId="3">
    <w:abstractNumId w:val="562239"/>
  </w:num>
  <w:num w:numId="4">
    <w:abstractNumId w:val="562240"/>
  </w:num>
  <w:num w:numId="5">
    <w:abstractNumId w:val="562241"/>
  </w:num>
  <w:num w:numId="6">
    <w:abstractNumId w:val="5622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2025-12-31T08:43:23Z</dcterms:created>
  <dc:creator>Apache POI</dc:creator>
</cp:coreProperties>
</file>