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 xml:space="preserve">小米心电解读分析服务-产品需求文档 </w:t>
      </w:r>
    </w:p>
    <w:p>
      <w:pPr>
        <w:pStyle w:val="1"/>
        <w:spacing w:before="380" w:after="140" w:line="288" w:lineRule="auto"/>
        <w:ind w:left="0"/>
        <w:jc w:val="left"/>
        <w:outlineLvl w:val="0"/>
      </w:pPr>
      <w:bookmarkStart w:name="heading_0" w:id="0"/>
      <w:r>
        <w:rPr>
          <w:rFonts w:eastAsia="等线" w:ascii="Arial" w:cs="Arial" w:hAnsi="Arial"/>
          <w:b w:val="true"/>
          <w:sz w:val="36"/>
        </w:rPr>
        <w:t>前言</w:t>
      </w:r>
      <w:bookmarkEnd w:id="0"/>
    </w:p>
    <w:tbl>
      <w:tblPr>
        <w:tblW w:w="0" w:type="auto"/>
        <w:tblInd w:w="0" w:type="dxa"/>
        <w:tblBorders>
          <w:top w:val="single" w:color="82a7fc"/>
          <w:left w:val="single" w:color="82a7fc"/>
          <w:bottom w:val="single" w:color="82a7fc"/>
          <w:right w:val="single" w:color="82a7fc"/>
          <w:insideH w:val="single" w:color="82a7fc"/>
          <w:insideV w:val="single" w:color="82a7fc"/>
        </w:tblBorders>
        <w:tblLayout w:type="fixed"/>
      </w:tblPr>
      <w:tblGrid>
        <w:gridCol w:w="8280"/>
      </w:tblGrid>
      <w:tr>
        <w:tc>
          <w:tcPr>
            <w:tcW w:w="8280" w:type="dxa"/>
            <w:shd w:color="auto" w:val="clear" w:fill="e1eaff"/>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在空行输入“/高亮块” 插入高亮块，突出显示重点信息</w:t>
            </w:r>
          </w:p>
        </w:tc>
      </w:tr>
    </w:tbl>
    <w:p>
      <w:pPr>
        <w:pStyle w:val="1"/>
        <w:spacing w:before="380" w:after="140" w:line="288" w:lineRule="auto"/>
        <w:ind w:left="0"/>
        <w:jc w:val="left"/>
        <w:outlineLvl w:val="0"/>
      </w:pPr>
      <w:bookmarkStart w:name="heading_1" w:id="1"/>
      <w:r>
        <w:rPr>
          <w:rFonts w:eastAsia="等线" w:ascii="Arial" w:cs="Arial" w:hAnsi="Arial"/>
          <w:b w:val="true"/>
          <w:sz w:val="36"/>
        </w:rPr>
        <w:t>一、 版本信息</w:t>
      </w:r>
      <w:bookmarkEnd w:id="1"/>
    </w:p>
    <w:tbl>
      <w:tblPr>
        <w:tblW w:w="0" w:type="auto"/>
        <w:tblInd w:w="0" w:type="dxa"/>
        <w:tblBorders>
          <w:top w:val="none" w:space="4"/>
          <w:left w:val="none" w:space="4"/>
          <w:bottom w:val="none" w:space="4"/>
          <w:right w:val="none" w:space="4"/>
          <w:insideH w:val="none" w:space="4"/>
          <w:insideV w:val="none" w:space="4"/>
        </w:tblBorders>
        <w:tblLayout w:type="fixed"/>
      </w:tblPr>
      <w:tblGrid>
        <w:gridCol w:w="2760"/>
        <w:gridCol w:w="2760"/>
        <w:gridCol w:w="2760"/>
      </w:tblGrid>
      <w:tr>
        <w:tc>
          <w:tcPr>
            <w:tcW w:w="2760" w:type="dxa"/>
            <w:tcMar>
              <w:top w:type="dxa" w:w="60"/>
              <w:left w:type="dxa" w:w="120"/>
              <w:bottom w:type="dxa" w:w="30"/>
              <w:right w:type="dxa" w:w="120"/>
            </w:tcMar>
          </w:tcPr>
          <w:tbl>
            <w:tblPr>
              <w:tblW w:w="0" w:type="auto"/>
              <w:tblInd w:w="0" w:type="dxa"/>
              <w:tblBorders>
                <w:top w:val="single" w:color=""/>
                <w:left w:val="single" w:color=""/>
                <w:bottom w:val="single" w:color=""/>
                <w:right w:val="single" w:color=""/>
                <w:insideH w:val="single" w:color=""/>
                <w:insideV w:val="single" w:color=""/>
              </w:tblBorders>
              <w:tblLayout w:type="fixed"/>
            </w:tblPr>
            <w:tblGrid>
              <w:gridCol w:w="2520"/>
            </w:tblGrid>
            <w:tr>
              <w:tc>
                <w:tcPr>
                  <w:tcW w:w="2520" w:type="dxa"/>
                  <w:shd w:color="auto" w:val="clear" w:fill="f8f9f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版本号：v1.0.0</w:t>
                  </w:r>
                </w:p>
              </w:tc>
            </w:tr>
          </w:tbl>
          <w:p/>
        </w:tc>
        <w:tc>
          <w:tcPr>
            <w:tcW w:w="2760" w:type="dxa"/>
            <w:tcMar>
              <w:top w:type="dxa" w:w="60"/>
              <w:left w:type="dxa" w:w="120"/>
              <w:bottom w:type="dxa" w:w="30"/>
              <w:right w:type="dxa" w:w="120"/>
            </w:tcMar>
          </w:tcPr>
          <w:tbl>
            <w:tblPr>
              <w:tblW w:w="0" w:type="auto"/>
              <w:tblInd w:w="0" w:type="dxa"/>
              <w:tblBorders>
                <w:top w:val="single" w:color=""/>
                <w:left w:val="single" w:color=""/>
                <w:bottom w:val="single" w:color=""/>
                <w:right w:val="single" w:color=""/>
                <w:insideH w:val="single" w:color=""/>
                <w:insideV w:val="single" w:color=""/>
              </w:tblBorders>
              <w:tblLayout w:type="fixed"/>
            </w:tblPr>
            <w:tblGrid>
              <w:gridCol w:w="2520"/>
            </w:tblGrid>
            <w:tr>
              <w:tc>
                <w:tcPr>
                  <w:tcW w:w="2520" w:type="dxa"/>
                  <w:shd w:color="auto" w:val="clear" w:fill="f8f9f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创建日期2022.12.2</w:t>
                  </w:r>
                </w:p>
              </w:tc>
            </w:tr>
          </w:tbl>
          <w:p/>
        </w:tc>
        <w:tc>
          <w:tcPr>
            <w:tcW w:w="2760" w:type="dxa"/>
            <w:tcMar>
              <w:top w:type="dxa" w:w="60"/>
              <w:left w:type="dxa" w:w="120"/>
              <w:bottom w:type="dxa" w:w="30"/>
              <w:right w:type="dxa" w:w="120"/>
            </w:tcMar>
          </w:tcPr>
          <w:tbl>
            <w:tblPr>
              <w:tblW w:w="0" w:type="auto"/>
              <w:tblInd w:w="0" w:type="dxa"/>
              <w:tblBorders>
                <w:top w:val="single" w:color=""/>
                <w:left w:val="single" w:color=""/>
                <w:bottom w:val="single" w:color=""/>
                <w:right w:val="single" w:color=""/>
                <w:insideH w:val="single" w:color=""/>
                <w:insideV w:val="single" w:color=""/>
              </w:tblBorders>
              <w:tblLayout w:type="fixed"/>
            </w:tblPr>
            <w:tblGrid>
              <w:gridCol w:w="2520"/>
            </w:tblGrid>
            <w:tr>
              <w:tc>
                <w:tcPr>
                  <w:tcW w:w="2520" w:type="dxa"/>
                  <w:shd w:color="auto" w:val="clear" w:fill="f8f9f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审核人</w:t>
                  </w:r>
                </w:p>
              </w:tc>
            </w:tr>
          </w:tbl>
          <w:p/>
        </w:tc>
      </w:tr>
    </w:tbl>
    <w:p>
      <w:pPr>
        <w:pStyle w:val="1"/>
        <w:spacing w:before="380" w:after="140" w:line="288" w:lineRule="auto"/>
        <w:ind w:left="0"/>
        <w:jc w:val="left"/>
        <w:outlineLvl w:val="0"/>
      </w:pPr>
      <w:bookmarkStart w:name="heading_2" w:id="2"/>
      <w:r>
        <w:rPr>
          <w:rFonts w:eastAsia="等线" w:ascii="Arial" w:cs="Arial" w:hAnsi="Arial"/>
          <w:b w:val="true"/>
          <w:sz w:val="36"/>
        </w:rPr>
        <w:t>二、 变更日志</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15"/>
        <w:gridCol w:w="1305"/>
        <w:gridCol w:w="1290"/>
        <w:gridCol w:w="4455"/>
      </w:tblGrid>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时间</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版本号</w:t>
            </w:r>
          </w:p>
        </w:tc>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变更人</w:t>
            </w:r>
          </w:p>
        </w:tc>
        <w:tc>
          <w:tcPr>
            <w:tcW w:w="44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主要变更内容</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2022.12.2</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v1.0.0</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吕望来</w:t>
            </w:r>
          </w:p>
        </w:tc>
        <w:tc>
          <w:tcPr>
            <w:tcW w:w="4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文档初稿</w:t>
            </w:r>
          </w:p>
        </w:tc>
      </w:tr>
      <w:tr>
        <w:tc>
          <w:tcPr>
            <w:tcW w:w="1215" w:type="dxa"/>
            <w:tcMar>
              <w:top w:type="dxa" w:w="60"/>
              <w:left w:type="dxa" w:w="120"/>
              <w:bottom w:type="dxa" w:w="30"/>
              <w:right w:type="dxa" w:w="120"/>
            </w:tcMar>
          </w:tcPr>
          <w:p>
            <w:pPr>
              <w:spacing w:before="120" w:after="120" w:line="288" w:lineRule="auto"/>
              <w:ind w:left="0"/>
              <w:jc w:val="left"/>
            </w:pPr>
          </w:p>
        </w:tc>
        <w:tc>
          <w:tcPr>
            <w:tcW w:w="1305" w:type="dxa"/>
            <w:tcMar>
              <w:top w:type="dxa" w:w="60"/>
              <w:left w:type="dxa" w:w="120"/>
              <w:bottom w:type="dxa" w:w="30"/>
              <w:right w:type="dxa" w:w="120"/>
            </w:tcMar>
          </w:tcPr>
          <w:p>
            <w:pPr>
              <w:spacing w:before="120" w:after="120" w:line="288" w:lineRule="auto"/>
              <w:ind w:left="0"/>
              <w:jc w:val="left"/>
            </w:pPr>
          </w:p>
        </w:tc>
        <w:tc>
          <w:tcPr>
            <w:tcW w:w="1290" w:type="dxa"/>
            <w:tcMar>
              <w:top w:type="dxa" w:w="60"/>
              <w:left w:type="dxa" w:w="120"/>
              <w:bottom w:type="dxa" w:w="30"/>
              <w:right w:type="dxa" w:w="120"/>
            </w:tcMar>
          </w:tcPr>
          <w:p>
            <w:pPr>
              <w:spacing w:before="120" w:after="120" w:line="288" w:lineRule="auto"/>
              <w:ind w:left="0"/>
              <w:jc w:val="left"/>
            </w:pPr>
          </w:p>
        </w:tc>
        <w:tc>
          <w:tcPr>
            <w:tcW w:w="4455" w:type="dxa"/>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left"/>
            </w:pPr>
          </w:p>
        </w:tc>
        <w:tc>
          <w:tcPr>
            <w:tcW w:w="1305" w:type="dxa"/>
            <w:tcMar>
              <w:top w:type="dxa" w:w="60"/>
              <w:left w:type="dxa" w:w="120"/>
              <w:bottom w:type="dxa" w:w="30"/>
              <w:right w:type="dxa" w:w="120"/>
            </w:tcMar>
          </w:tcPr>
          <w:p>
            <w:pPr>
              <w:spacing w:before="120" w:after="120" w:line="288" w:lineRule="auto"/>
              <w:ind w:left="0"/>
              <w:jc w:val="left"/>
            </w:pPr>
          </w:p>
        </w:tc>
        <w:tc>
          <w:tcPr>
            <w:tcW w:w="1290" w:type="dxa"/>
            <w:tcMar>
              <w:top w:type="dxa" w:w="60"/>
              <w:left w:type="dxa" w:w="120"/>
              <w:bottom w:type="dxa" w:w="30"/>
              <w:right w:type="dxa" w:w="120"/>
            </w:tcMar>
          </w:tcPr>
          <w:p>
            <w:pPr>
              <w:spacing w:before="120" w:after="120" w:line="288" w:lineRule="auto"/>
              <w:ind w:left="0"/>
              <w:jc w:val="left"/>
            </w:pPr>
          </w:p>
        </w:tc>
        <w:tc>
          <w:tcPr>
            <w:tcW w:w="4455" w:type="dxa"/>
            <w:tcMar>
              <w:top w:type="dxa" w:w="60"/>
              <w:left w:type="dxa" w:w="120"/>
              <w:bottom w:type="dxa" w:w="30"/>
              <w:right w:type="dxa" w:w="120"/>
            </w:tcMar>
          </w:tcPr>
          <w:p>
            <w:pPr>
              <w:spacing w:before="120" w:after="120" w:line="288" w:lineRule="auto"/>
              <w:ind w:left="0"/>
              <w:jc w:val="left"/>
            </w:pPr>
          </w:p>
        </w:tc>
      </w:tr>
    </w:tbl>
    <w:p>
      <w:pPr>
        <w:pStyle w:val="1"/>
        <w:spacing w:before="380" w:after="140" w:line="288" w:lineRule="auto"/>
        <w:ind w:left="0"/>
        <w:jc w:val="left"/>
        <w:outlineLvl w:val="0"/>
      </w:pPr>
      <w:bookmarkStart w:name="heading_3" w:id="3"/>
      <w:r>
        <w:rPr>
          <w:rFonts w:eastAsia="等线" w:ascii="Arial" w:cs="Arial" w:hAnsi="Arial"/>
          <w:b w:val="true"/>
          <w:sz w:val="36"/>
        </w:rPr>
        <w:t>三、 文档说明</w:t>
      </w:r>
      <w:bookmarkEnd w:id="3"/>
    </w:p>
    <w:p>
      <w:pPr>
        <w:pStyle w:val="2"/>
        <w:spacing w:before="320" w:after="120" w:line="288" w:lineRule="auto"/>
        <w:ind w:left="0"/>
        <w:jc w:val="left"/>
        <w:outlineLvl w:val="1"/>
      </w:pPr>
      <w:bookmarkStart w:name="heading_4" w:id="4"/>
      <w:r>
        <w:rPr>
          <w:rFonts w:eastAsia="等线" w:ascii="Arial" w:cs="Arial" w:hAnsi="Arial"/>
          <w:b w:val="true"/>
          <w:sz w:val="32"/>
        </w:rPr>
        <w:t>名词解释</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6630"/>
      </w:tblGrid>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术语 / 缩略词</w:t>
            </w:r>
          </w:p>
        </w:tc>
        <w:tc>
          <w:tcPr>
            <w:tcW w:w="66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说明</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ECG数据</w:t>
            </w:r>
          </w:p>
        </w:tc>
        <w:tc>
          <w:tcPr>
            <w:tcW w:w="6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心电图数据简称</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送检</w:t>
            </w:r>
          </w:p>
        </w:tc>
        <w:tc>
          <w:tcPr>
            <w:tcW w:w="6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小米手表医疗器械注册认证，提交检验所检验</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心电解读</w:t>
            </w:r>
          </w:p>
        </w:tc>
        <w:tc>
          <w:tcPr>
            <w:tcW w:w="6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医生对心电图数据进行分析，输出心电图解读报告</w:t>
            </w:r>
          </w:p>
        </w:tc>
      </w:tr>
    </w:tbl>
    <w:p>
      <w:pPr>
        <w:pStyle w:val="1"/>
        <w:spacing w:before="380" w:after="140" w:line="288" w:lineRule="auto"/>
        <w:ind w:left="0"/>
        <w:jc w:val="left"/>
        <w:outlineLvl w:val="0"/>
      </w:pPr>
      <w:bookmarkStart w:name="heading_5" w:id="5"/>
      <w:r>
        <w:rPr>
          <w:rFonts w:eastAsia="等线" w:ascii="Arial" w:cs="Arial" w:hAnsi="Arial"/>
          <w:b w:val="true"/>
          <w:sz w:val="36"/>
        </w:rPr>
        <w:t>四、 需求背景</w:t>
      </w:r>
      <w:bookmarkEnd w:id="5"/>
    </w:p>
    <w:p>
      <w:pPr>
        <w:pStyle w:val="2"/>
        <w:spacing w:before="320" w:after="120" w:line="288" w:lineRule="auto"/>
        <w:ind w:left="0"/>
        <w:jc w:val="left"/>
        <w:outlineLvl w:val="1"/>
      </w:pPr>
      <w:bookmarkStart w:name="heading_6" w:id="6"/>
      <w:r>
        <w:rPr>
          <w:rFonts w:eastAsia="等线" w:ascii="Arial" w:cs="Arial" w:hAnsi="Arial"/>
          <w:b w:val="true"/>
          <w:sz w:val="32"/>
        </w:rPr>
        <w:t>产品 / 数据现状</w:t>
      </w:r>
      <w:bookmarkEnd w:id="6"/>
    </w:p>
    <w:p>
      <w:pPr>
        <w:spacing w:before="120" w:after="120" w:line="288" w:lineRule="auto"/>
        <w:ind w:left="0"/>
        <w:jc w:val="left"/>
      </w:pPr>
      <w:r>
        <w:rPr>
          <w:rFonts w:eastAsia="等线" w:ascii="Arial" w:cs="Arial" w:hAnsi="Arial"/>
          <w:sz w:val="22"/>
        </w:rPr>
        <w:t>为小米手表用户提供心电解读分析服务，完整服务内容包括算法</w:t>
      </w:r>
      <w:r>
        <w:rPr>
          <w:rFonts w:eastAsia="等线" w:ascii="Arial" w:cs="Arial" w:hAnsi="Arial"/>
          <w:sz w:val="22"/>
          <w:shd w:fill="fff67a"/>
        </w:rPr>
        <w:t>智能分析服务</w:t>
      </w:r>
      <w:r>
        <w:rPr>
          <w:rFonts w:eastAsia="等线" w:ascii="Arial" w:cs="Arial" w:hAnsi="Arial"/>
          <w:sz w:val="22"/>
        </w:rPr>
        <w:t>、</w:t>
      </w:r>
      <w:r>
        <w:rPr>
          <w:rFonts w:eastAsia="等线" w:ascii="Arial" w:cs="Arial" w:hAnsi="Arial"/>
          <w:sz w:val="22"/>
          <w:shd w:fill="fff67a"/>
        </w:rPr>
        <w:t>心电解读服务</w:t>
      </w:r>
      <w:r>
        <w:rPr>
          <w:rFonts w:eastAsia="等线" w:ascii="Arial" w:cs="Arial" w:hAnsi="Arial"/>
          <w:sz w:val="22"/>
        </w:rPr>
        <w:t>、</w:t>
      </w:r>
      <w:r>
        <w:rPr>
          <w:rFonts w:eastAsia="等线" w:ascii="Arial" w:cs="Arial" w:hAnsi="Arial"/>
          <w:sz w:val="22"/>
          <w:shd w:fill="fff67a"/>
        </w:rPr>
        <w:t>在线咨询服务</w:t>
      </w:r>
      <w:r>
        <w:rPr>
          <w:rFonts w:eastAsia="等线" w:ascii="Arial" w:cs="Arial" w:hAnsi="Arial"/>
          <w:sz w:val="22"/>
        </w:rPr>
        <w:t>。完整服务分几个解读实现：</w:t>
      </w:r>
    </w:p>
    <w:p>
      <w:pPr>
        <w:spacing w:before="120" w:after="120" w:line="288" w:lineRule="auto"/>
        <w:ind w:left="0"/>
        <w:jc w:val="left"/>
      </w:pPr>
      <w:r>
        <w:rPr>
          <w:rFonts w:eastAsia="等线" w:ascii="Arial" w:cs="Arial" w:hAnsi="Arial"/>
          <w:sz w:val="22"/>
        </w:rPr>
        <w:t>v1.0.0版本：满足小米手表送检需求</w:t>
      </w:r>
    </w:p>
    <w:p>
      <w:pPr>
        <w:numPr>
          <w:numId w:val="1"/>
        </w:numPr>
        <w:spacing w:before="120" w:after="120" w:line="288" w:lineRule="auto"/>
        <w:ind w:left="0"/>
        <w:jc w:val="left"/>
      </w:pPr>
      <w:r>
        <w:rPr>
          <w:rFonts w:eastAsia="等线" w:ascii="Arial" w:cs="Arial" w:hAnsi="Arial"/>
          <w:sz w:val="22"/>
        </w:rPr>
        <w:t>实现心电解读服务流程（不包含支付流程）</w:t>
      </w:r>
    </w:p>
    <w:p>
      <w:pPr>
        <w:spacing w:before="120" w:after="120" w:line="288" w:lineRule="auto"/>
        <w:ind w:left="0"/>
        <w:jc w:val="left"/>
      </w:pPr>
      <w:r>
        <w:rPr>
          <w:rFonts w:eastAsia="等线" w:ascii="Arial" w:cs="Arial" w:hAnsi="Arial"/>
          <w:sz w:val="22"/>
        </w:rPr>
        <w:t>v1.1.0版本：完成心电解读服务商业闭环</w:t>
      </w:r>
    </w:p>
    <w:p>
      <w:pPr>
        <w:numPr>
          <w:numId w:val="2"/>
        </w:numPr>
        <w:spacing w:before="120" w:after="120" w:line="288" w:lineRule="auto"/>
        <w:ind w:left="0"/>
        <w:jc w:val="left"/>
      </w:pPr>
      <w:r>
        <w:rPr>
          <w:rFonts w:eastAsia="等线" w:ascii="Arial" w:cs="Arial" w:hAnsi="Arial"/>
          <w:sz w:val="22"/>
        </w:rPr>
        <w:t>实现心电解读服务套餐购买和支付流程</w:t>
      </w:r>
    </w:p>
    <w:p>
      <w:pPr>
        <w:spacing w:before="120" w:after="120" w:line="288" w:lineRule="auto"/>
        <w:ind w:left="0"/>
        <w:jc w:val="left"/>
      </w:pPr>
      <w:r>
        <w:rPr>
          <w:rFonts w:eastAsia="等线" w:ascii="Arial" w:cs="Arial" w:hAnsi="Arial"/>
          <w:sz w:val="22"/>
        </w:rPr>
        <w:t>v1.2.0版本：实现心电图算法分析服务商业闭环</w:t>
      </w:r>
    </w:p>
    <w:p>
      <w:pPr>
        <w:numPr>
          <w:numId w:val="3"/>
        </w:numPr>
        <w:spacing w:before="120" w:after="120" w:line="288" w:lineRule="auto"/>
        <w:ind w:left="0"/>
        <w:jc w:val="left"/>
      </w:pPr>
      <w:r>
        <w:rPr>
          <w:rFonts w:eastAsia="等线" w:ascii="Arial" w:cs="Arial" w:hAnsi="Arial"/>
          <w:sz w:val="22"/>
        </w:rPr>
        <w:t>增加</w:t>
      </w:r>
      <w:r>
        <w:rPr>
          <w:rFonts w:eastAsia="等线" w:ascii="Arial" w:cs="Arial" w:hAnsi="Arial"/>
          <w:sz w:val="22"/>
        </w:rPr>
        <w:t>AI</w:t>
      </w:r>
      <w:r>
        <w:rPr>
          <w:rFonts w:eastAsia="等线" w:ascii="Arial" w:cs="Arial" w:hAnsi="Arial"/>
          <w:sz w:val="22"/>
        </w:rPr>
        <w:t>分析服务</w:t>
      </w:r>
    </w:p>
    <w:p>
      <w:pPr>
        <w:pStyle w:val="2"/>
        <w:spacing w:before="320" w:after="120" w:line="288" w:lineRule="auto"/>
        <w:ind w:left="0"/>
        <w:jc w:val="left"/>
        <w:outlineLvl w:val="1"/>
      </w:pPr>
      <w:bookmarkStart w:name="heading_7" w:id="7"/>
      <w:r>
        <w:rPr>
          <w:rFonts w:eastAsia="等线" w:ascii="Arial" w:cs="Arial" w:hAnsi="Arial"/>
          <w:b w:val="true"/>
          <w:sz w:val="32"/>
        </w:rPr>
        <w:t>用户调研</w:t>
      </w:r>
      <w:bookmarkEnd w:id="7"/>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简要说明调研方法、样本情况及关键结论，输入 @ 在此附上详细的数据分析报告并添加在【</w:t>
            </w:r>
            <w:r>
              <w:rPr>
                <w:rFonts w:eastAsia="等线" w:ascii="Arial" w:cs="Arial" w:hAnsi="Arial"/>
                <w:color w:val="646a73"/>
                <w:sz w:val="22"/>
              </w:rPr>
              <w:t>附录</w:t>
            </w:r>
            <w:r>
              <w:rPr>
                <w:rFonts w:eastAsia="等线" w:ascii="Arial" w:cs="Arial" w:hAnsi="Arial"/>
                <w:color w:val="646a73"/>
                <w:sz w:val="22"/>
              </w:rPr>
              <w:t>】中</w:t>
            </w:r>
          </w:p>
        </w:tc>
      </w:tr>
    </w:tbl>
    <w:p>
      <w:pPr>
        <w:pStyle w:val="3"/>
        <w:spacing w:before="300" w:after="120" w:line="288" w:lineRule="auto"/>
        <w:ind w:left="0"/>
        <w:jc w:val="left"/>
        <w:outlineLvl w:val="2"/>
      </w:pPr>
      <w:bookmarkStart w:name="heading_8" w:id="8"/>
      <w:bookmarkEnd w:id="8"/>
    </w:p>
    <w:p>
      <w:pPr>
        <w:pStyle w:val="2"/>
        <w:spacing w:before="320" w:after="120" w:line="288" w:lineRule="auto"/>
        <w:ind w:left="0"/>
        <w:jc w:val="left"/>
        <w:outlineLvl w:val="1"/>
      </w:pPr>
      <w:bookmarkStart w:name="heading_9" w:id="9"/>
      <w:r>
        <w:rPr>
          <w:rFonts w:eastAsia="等线" w:ascii="Arial" w:cs="Arial" w:hAnsi="Arial"/>
          <w:b w:val="true"/>
          <w:sz w:val="32"/>
        </w:rPr>
        <w:t>竞品分析</w:t>
      </w:r>
      <w:bookmarkEnd w:id="9"/>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列出竞品对比的主要信息和关键结论，可输入 @ 在此附上详细的竞品分析报告并添加在【</w:t>
            </w:r>
            <w:r>
              <w:rPr>
                <w:rFonts w:eastAsia="等线" w:ascii="Arial" w:cs="Arial" w:hAnsi="Arial"/>
                <w:color w:val="646a73"/>
                <w:sz w:val="22"/>
              </w:rPr>
              <w:t>附录</w:t>
            </w:r>
            <w:r>
              <w:rPr>
                <w:rFonts w:eastAsia="等线" w:ascii="Arial" w:cs="Arial" w:hAnsi="Arial"/>
                <w:color w:val="646a73"/>
                <w:sz w:val="22"/>
              </w:rPr>
              <w:t>】中</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75"/>
        <w:gridCol w:w="2025"/>
        <w:gridCol w:w="2100"/>
        <w:gridCol w:w="3480"/>
      </w:tblGrid>
      <w:tr>
        <w:tc>
          <w:tcPr>
            <w:tcW w:w="675" w:type="dxa"/>
            <w:tcMar>
              <w:top w:type="dxa" w:w="60"/>
              <w:left w:type="dxa" w:w="120"/>
              <w:bottom w:type="dxa" w:w="30"/>
              <w:right w:type="dxa" w:w="120"/>
            </w:tcMar>
          </w:tcPr>
          <w:p>
            <w:pPr>
              <w:spacing w:before="120" w:after="120" w:line="288" w:lineRule="auto"/>
              <w:ind w:left="0"/>
              <w:jc w:val="left"/>
            </w:pPr>
          </w:p>
        </w:tc>
        <w:tc>
          <w:tcPr>
            <w:tcW w:w="20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主要信息</w:t>
            </w:r>
          </w:p>
        </w:tc>
        <w:tc>
          <w:tcPr>
            <w:tcW w:w="21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关键结论</w:t>
            </w:r>
          </w:p>
        </w:tc>
        <w:tc>
          <w:tcPr>
            <w:tcW w:w="34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截图或视频</w:t>
            </w:r>
          </w:p>
        </w:tc>
      </w:tr>
      <w:tr>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竞品1</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OPPO心电解读服务</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算法分析服务免费，OPPO付费，用户免费</w:t>
            </w:r>
          </w:p>
          <w:p>
            <w:pPr>
              <w:spacing w:before="120" w:after="120" w:line="288" w:lineRule="auto"/>
              <w:ind w:left="0"/>
              <w:jc w:val="left"/>
            </w:pPr>
            <w:r>
              <w:rPr>
                <w:rFonts w:eastAsia="等线" w:ascii="Arial" w:cs="Arial" w:hAnsi="Arial"/>
                <w:sz w:val="22"/>
              </w:rPr>
              <w:t>心电解读服务采用专家解读模式，按医生级别收费</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color w:val="646a73"/>
                <w:sz w:val="22"/>
              </w:rPr>
              <w:t>建议尽量把图片横向排布，精简文档篇幅</w:t>
            </w:r>
          </w:p>
          <w:p>
            <w:pPr>
              <w:spacing w:before="120" w:after="120" w:line="288" w:lineRule="auto"/>
              <w:ind w:left="0"/>
              <w:jc w:val="left"/>
            </w:pPr>
          </w:p>
        </w:tc>
      </w:tr>
      <w:tr>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竞品2</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华为心电解读服务</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算法分析华为提供，可识别窦律、窦速、窦缓、早搏、房颤心电图</w:t>
            </w:r>
          </w:p>
        </w:tc>
        <w:tc>
          <w:tcPr>
            <w:tcW w:w="3480" w:type="dxa"/>
            <w:tcMar>
              <w:top w:type="dxa" w:w="60"/>
              <w:left w:type="dxa" w:w="120"/>
              <w:bottom w:type="dxa" w:w="30"/>
              <w:right w:type="dxa" w:w="120"/>
            </w:tcMar>
          </w:tcPr>
          <w:p>
            <w:pPr>
              <w:spacing w:before="120" w:after="120" w:line="288" w:lineRule="auto"/>
              <w:ind w:left="0"/>
              <w:jc w:val="left"/>
            </w:pPr>
          </w:p>
        </w:tc>
      </w:tr>
    </w:tbl>
    <w:p>
      <w:pPr>
        <w:pStyle w:val="1"/>
        <w:spacing w:before="380" w:after="140" w:line="288" w:lineRule="auto"/>
        <w:ind w:left="0"/>
        <w:jc w:val="left"/>
        <w:outlineLvl w:val="0"/>
      </w:pPr>
      <w:bookmarkStart w:name="heading_10" w:id="10"/>
      <w:r>
        <w:rPr>
          <w:rFonts w:eastAsia="等线" w:ascii="Arial" w:cs="Arial" w:hAnsi="Arial"/>
          <w:b w:val="true"/>
          <w:sz w:val="36"/>
        </w:rPr>
        <w:t>五、 需求范围</w:t>
      </w:r>
      <w:bookmarkEnd w:id="1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可条理性地罗列需求范围或信息架构</w:t>
            </w:r>
          </w:p>
        </w:tc>
      </w:tr>
    </w:tbl>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240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点击图片可查看完整表格</w:t>
      </w:r>
    </w:p>
    <w:p>
      <w:pPr>
        <w:pStyle w:val="1"/>
        <w:spacing w:before="380" w:after="140" w:line="288" w:lineRule="auto"/>
        <w:ind w:left="0"/>
        <w:jc w:val="left"/>
        <w:outlineLvl w:val="0"/>
      </w:pPr>
      <w:bookmarkStart w:name="heading_11" w:id="11"/>
      <w:r>
        <w:rPr>
          <w:rFonts w:eastAsia="等线" w:ascii="Arial" w:cs="Arial" w:hAnsi="Arial"/>
          <w:b w:val="true"/>
          <w:sz w:val="36"/>
        </w:rPr>
        <w:t>六、 功能详细说明</w:t>
      </w:r>
      <w:bookmarkEnd w:id="11"/>
    </w:p>
    <w:p>
      <w:pPr>
        <w:pStyle w:val="2"/>
        <w:spacing w:before="320" w:after="120" w:line="288" w:lineRule="auto"/>
        <w:ind w:left="0"/>
        <w:jc w:val="left"/>
        <w:outlineLvl w:val="1"/>
      </w:pPr>
      <w:bookmarkStart w:name="heading_12" w:id="12"/>
      <w:r>
        <w:rPr>
          <w:rFonts w:eastAsia="等线" w:ascii="Arial" w:cs="Arial" w:hAnsi="Arial"/>
          <w:b w:val="true"/>
          <w:sz w:val="32"/>
        </w:rPr>
        <w:t>产品流程图</w:t>
      </w:r>
      <w:bookmarkEnd w:id="12"/>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业务</w:t>
            </w:r>
            <w:r>
              <w:rPr>
                <w:rFonts w:eastAsia="等线" w:ascii="Arial" w:cs="Arial" w:hAnsi="Arial"/>
                <w:color w:val="646a73"/>
                <w:sz w:val="22"/>
              </w:rPr>
              <w:t>流程图</w:t>
            </w:r>
            <w:r>
              <w:rPr>
                <w:rFonts w:eastAsia="等线" w:ascii="Arial" w:cs="Arial" w:hAnsi="Arial"/>
                <w:color w:val="646a73"/>
                <w:sz w:val="22"/>
              </w:rPr>
              <w:t>：</w:t>
            </w:r>
          </w:p>
          <w:p>
            <w:pPr>
              <w:spacing w:before="120" w:after="120" w:line="288" w:lineRule="auto"/>
              <w:ind w:left="0"/>
              <w:jc w:val="center"/>
            </w:pPr>
            <w:r>
              <w:drawing>
                <wp:inline distT="0" distR="0" distB="0" distL="0">
                  <wp:extent cx="5105400" cy="53625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7"/>
                          <a:stretch>
                            <a:fillRect/>
                          </a:stretch>
                        </pic:blipFill>
                        <pic:spPr>
                          <a:xfrm>
                            <a:off x="0" y="0"/>
                            <a:ext cx="5105400" cy="5362575"/>
                          </a:xfrm>
                          <a:prstGeom prst="rect">
                            <a:avLst/>
                          </a:prstGeom>
                        </pic:spPr>
                      </pic:pic>
                    </a:graphicData>
                  </a:graphic>
                </wp:inline>
              </w:drawing>
            </w:r>
          </w:p>
        </w:tc>
      </w:tr>
    </w:tbl>
    <w:p>
      <w:pPr>
        <w:pStyle w:val="2"/>
        <w:spacing w:before="320" w:after="120" w:line="288" w:lineRule="auto"/>
        <w:ind w:left="0"/>
        <w:jc w:val="left"/>
        <w:outlineLvl w:val="1"/>
      </w:pPr>
      <w:bookmarkStart w:name="heading_13" w:id="13"/>
      <w:r>
        <w:rPr>
          <w:rFonts w:eastAsia="等线" w:ascii="Arial" w:cs="Arial" w:hAnsi="Arial"/>
          <w:b w:val="true"/>
          <w:sz w:val="32"/>
        </w:rPr>
        <w:t>交互原型图</w:t>
      </w:r>
      <w:bookmarkEnd w:id="13"/>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原型地址：</w:t>
            </w:r>
          </w:p>
          <w:p>
            <w:pPr>
              <w:spacing w:before="120" w:after="120" w:line="288" w:lineRule="auto"/>
              <w:ind w:left="0"/>
              <w:jc w:val="left"/>
            </w:pPr>
            <w:r>
              <w:rPr>
                <w:rFonts w:eastAsia="等线" w:ascii="Arial" w:cs="Arial" w:hAnsi="Arial"/>
                <w:b w:val="true"/>
                <w:color w:val="646a73"/>
                <w:sz w:val="22"/>
                <w:shd w:fill="dee0e3"/>
              </w:rPr>
              <w:t>[该类型的内容暂不支持下载]</w:t>
            </w:r>
          </w:p>
        </w:tc>
      </w:tr>
    </w:tbl>
    <w:p>
      <w:pPr>
        <w:pStyle w:val="2"/>
        <w:spacing w:before="320" w:after="120" w:line="288" w:lineRule="auto"/>
        <w:ind w:left="0"/>
        <w:jc w:val="left"/>
        <w:outlineLvl w:val="1"/>
      </w:pPr>
      <w:bookmarkStart w:name="heading_14" w:id="14"/>
      <w:r>
        <w:rPr>
          <w:rFonts w:eastAsia="等线" w:ascii="Arial" w:cs="Arial" w:hAnsi="Arial"/>
          <w:b w:val="true"/>
          <w:sz w:val="32"/>
        </w:rPr>
        <w:t>UI</w:t>
      </w:r>
      <w:r>
        <w:rPr>
          <w:rFonts w:eastAsia="等线" w:ascii="Arial" w:cs="Arial" w:hAnsi="Arial"/>
          <w:b w:val="true"/>
          <w:sz w:val="32"/>
        </w:rPr>
        <w:t>图</w:t>
      </w:r>
      <w:bookmarkEnd w:id="14"/>
    </w:p>
    <w:p>
      <w:pPr>
        <w:spacing w:before="120" w:after="120" w:line="288" w:lineRule="auto"/>
        <w:ind w:left="0"/>
        <w:jc w:val="left"/>
      </w:pPr>
      <w:r>
        <w:rPr>
          <w:rFonts w:eastAsia="等线" w:ascii="Arial" w:cs="Arial" w:hAnsi="Arial"/>
          <w:b w:val="true"/>
          <w:sz w:val="22"/>
          <w:shd w:fill="dee0e3"/>
        </w:rPr>
        <w:t>[该类型的内容暂不支持下载]</w:t>
      </w:r>
    </w:p>
    <w:p>
      <w:pPr>
        <w:pStyle w:val="2"/>
        <w:spacing w:before="320" w:after="120" w:line="288" w:lineRule="auto"/>
        <w:ind w:left="0"/>
        <w:jc w:val="left"/>
        <w:outlineLvl w:val="1"/>
      </w:pPr>
      <w:bookmarkStart w:name="heading_15" w:id="15"/>
      <w:r>
        <w:rPr>
          <w:rFonts w:eastAsia="等线" w:ascii="Arial" w:cs="Arial" w:hAnsi="Arial"/>
          <w:b w:val="true"/>
          <w:sz w:val="32"/>
        </w:rPr>
        <w:t>心电解读分析服务功能说明</w:t>
      </w:r>
      <w:bookmarkEnd w:id="15"/>
    </w:p>
    <w:p>
      <w:pPr>
        <w:pStyle w:val="3"/>
        <w:spacing w:before="300" w:after="120" w:line="288" w:lineRule="auto"/>
        <w:ind w:left="0"/>
        <w:jc w:val="left"/>
        <w:outlineLvl w:val="2"/>
      </w:pPr>
      <w:bookmarkStart w:name="heading_16" w:id="16"/>
      <w:r>
        <w:rPr>
          <w:rFonts w:eastAsia="等线" w:ascii="Arial" w:cs="Arial" w:hAnsi="Arial"/>
          <w:b w:val="true"/>
          <w:sz w:val="30"/>
        </w:rPr>
        <w:t>心电解读服务服务入口页面</w:t>
      </w:r>
      <w:bookmarkEnd w:id="16"/>
    </w:p>
    <w:p>
      <w:pPr>
        <w:spacing w:before="120" w:after="120" w:line="288" w:lineRule="auto"/>
        <w:ind w:left="0" w:firstLine="0"/>
        <w:jc w:val="left"/>
      </w:pPr>
      <w:r>
        <w:rPr>
          <w:rFonts w:eastAsia="等线" w:ascii="Arial" w:cs="Arial" w:hAnsi="Arial"/>
          <w:sz w:val="22"/>
        </w:rPr>
        <w:t>心电解读服务入口在心电图详情页面</w:t>
      </w:r>
      <w:r>
        <w:rPr>
          <w:rFonts w:eastAsia="等线" w:ascii="Arial" w:cs="Arial" w:hAnsi="Arial"/>
          <w:sz w:val="22"/>
          <w:shd w:fill="fff67a"/>
        </w:rPr>
        <w:t>（小米实现）</w:t>
      </w:r>
      <w:r>
        <w:rPr>
          <w:rFonts w:eastAsia="等线" w:ascii="Arial" w:cs="Arial" w:hAnsi="Arial"/>
          <w:sz w:val="22"/>
        </w:rPr>
        <w:t>，入口状态：</w:t>
      </w:r>
    </w:p>
    <w:p>
      <w:pPr>
        <w:numPr>
          <w:numId w:val="4"/>
        </w:numPr>
        <w:spacing w:before="120" w:after="120" w:line="288" w:lineRule="auto"/>
        <w:ind w:left="0"/>
        <w:jc w:val="left"/>
      </w:pPr>
      <w:r>
        <w:rPr>
          <w:rFonts w:eastAsia="等线" w:ascii="Arial" w:cs="Arial" w:hAnsi="Arial"/>
          <w:sz w:val="22"/>
        </w:rPr>
        <w:t>提交解读：心电图数据未提交时，显示提交解读按钮，点击可提交心电图解读，提交解读需要进行账号鉴权（</w:t>
      </w:r>
      <w:r>
        <w:rPr>
          <w:rFonts w:eastAsia="等线" w:ascii="Arial" w:cs="Arial" w:hAnsi="Arial"/>
          <w:sz w:val="22"/>
          <w:shd w:fill="fff67a"/>
        </w:rPr>
        <w:t>鉴权功能由小米实现</w:t>
      </w:r>
      <w:r>
        <w:rPr>
          <w:rFonts w:eastAsia="等线" w:ascii="Arial" w:cs="Arial" w:hAnsi="Arial"/>
          <w:sz w:val="22"/>
        </w:rPr>
        <w:t>），鉴权通过后跳转到检查心电图质量页面，提交心电图。</w:t>
      </w:r>
    </w:p>
    <w:p>
      <w:pPr>
        <w:numPr>
          <w:numId w:val="5"/>
        </w:numPr>
        <w:spacing w:before="120" w:after="120" w:line="288" w:lineRule="auto"/>
        <w:ind w:left="0"/>
        <w:jc w:val="left"/>
      </w:pPr>
      <w:r>
        <w:rPr>
          <w:rFonts w:eastAsia="等线" w:ascii="Arial" w:cs="Arial" w:hAnsi="Arial"/>
          <w:sz w:val="22"/>
        </w:rPr>
        <w:t>解读中：如果已经提交解读，按钮状态显示“解读中”，不可点击。</w:t>
      </w:r>
    </w:p>
    <w:p>
      <w:pPr>
        <w:numPr>
          <w:numId w:val="6"/>
        </w:numPr>
        <w:spacing w:before="120" w:after="120" w:line="288" w:lineRule="auto"/>
        <w:ind w:left="0"/>
        <w:jc w:val="left"/>
      </w:pPr>
      <w:r>
        <w:rPr>
          <w:rFonts w:eastAsia="等线" w:ascii="Arial" w:cs="Arial" w:hAnsi="Arial"/>
          <w:sz w:val="22"/>
        </w:rPr>
        <w:t>专家复核中：如果医生工作站医生将当前记录标记为疑难心电图，按钮状态显示“专家复核中”，不可点击。</w:t>
      </w:r>
    </w:p>
    <w:p>
      <w:pPr>
        <w:numPr>
          <w:numId w:val="7"/>
        </w:numPr>
        <w:spacing w:before="120" w:after="120" w:line="288" w:lineRule="auto"/>
        <w:ind w:left="0"/>
        <w:jc w:val="left"/>
      </w:pPr>
      <w:r>
        <w:rPr>
          <w:rFonts w:eastAsia="等线" w:ascii="Arial" w:cs="Arial" w:hAnsi="Arial"/>
          <w:sz w:val="22"/>
        </w:rPr>
        <w:t>查看报告：如果心电图解读完成，按钮状态显示“查看报告”，点击进入心电图解读结果页面。</w:t>
      </w:r>
    </w:p>
    <w:p>
      <w:pPr>
        <w:spacing w:before="120" w:after="120" w:line="288" w:lineRule="auto"/>
        <w:ind w:left="0"/>
        <w:jc w:val="left"/>
      </w:pPr>
      <w:r>
        <w:rPr>
          <w:rFonts w:eastAsia="等线" w:ascii="Arial" w:cs="Arial" w:hAnsi="Arial"/>
          <w:sz w:val="22"/>
        </w:rPr>
        <w:t>状态图：</w:t>
      </w:r>
    </w:p>
    <w:p>
      <w:pPr>
        <w:spacing w:before="120" w:after="120" w:line="288" w:lineRule="auto"/>
        <w:ind w:left="0"/>
        <w:jc w:val="center"/>
      </w:pPr>
      <w:r>
        <w:drawing>
          <wp:inline distT="0" distR="0" distB="0" distL="0">
            <wp:extent cx="5257800" cy="13239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8"/>
                    <a:stretch>
                      <a:fillRect/>
                    </a:stretch>
                  </pic:blipFill>
                  <pic:spPr>
                    <a:xfrm>
                      <a:off x="0" y="0"/>
                      <a:ext cx="5257800" cy="13239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交互图：</w:t>
      </w:r>
    </w:p>
    <w:p>
      <w:pPr>
        <w:spacing w:before="120" w:after="120" w:line="288" w:lineRule="auto"/>
        <w:ind w:left="0"/>
        <w:jc w:val="center"/>
      </w:pPr>
      <w:r>
        <w:drawing>
          <wp:inline distT="0" distR="0" distB="0" distL="0">
            <wp:extent cx="5257800" cy="86201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9"/>
                    <a:stretch>
                      <a:fillRect/>
                    </a:stretch>
                  </pic:blipFill>
                  <pic:spPr>
                    <a:xfrm>
                      <a:off x="0" y="0"/>
                      <a:ext cx="5257800" cy="8620125"/>
                    </a:xfrm>
                    <a:prstGeom prst="rect">
                      <a:avLst/>
                    </a:prstGeom>
                  </pic:spPr>
                </pic:pic>
              </a:graphicData>
            </a:graphic>
          </wp:inline>
        </w:drawing>
      </w:r>
    </w:p>
    <w:p>
      <w:pPr>
        <w:pStyle w:val="3"/>
        <w:spacing w:before="300" w:after="120" w:line="288" w:lineRule="auto"/>
        <w:ind w:left="0"/>
        <w:jc w:val="left"/>
        <w:outlineLvl w:val="2"/>
      </w:pPr>
      <w:bookmarkStart w:name="heading_17" w:id="17"/>
      <w:r>
        <w:rPr>
          <w:rFonts w:eastAsia="等线" w:ascii="Arial" w:cs="Arial" w:hAnsi="Arial"/>
          <w:b w:val="true"/>
          <w:sz w:val="30"/>
        </w:rPr>
        <w:t>提交心电解读</w:t>
      </w:r>
      <w:bookmarkEnd w:id="17"/>
    </w:p>
    <w:p>
      <w:pPr>
        <w:numPr>
          <w:numId w:val="8"/>
        </w:numPr>
        <w:spacing w:before="120" w:after="120" w:line="288" w:lineRule="auto"/>
        <w:ind w:left="0"/>
        <w:jc w:val="left"/>
      </w:pPr>
      <w:r>
        <w:rPr>
          <w:rFonts w:eastAsia="等线" w:ascii="Arial" w:cs="Arial" w:hAnsi="Arial"/>
          <w:sz w:val="22"/>
        </w:rPr>
        <w:t>小米鉴权通过后，进入心电图质量检测页面。页面从小米运动健康App获取当前心电图数据，并提交后台分析，实时获取分析状态(</w:t>
      </w:r>
      <w:r>
        <w:rPr>
          <w:rFonts w:eastAsia="等线" w:ascii="Arial" w:cs="Arial" w:hAnsi="Arial"/>
          <w:sz w:val="22"/>
          <w:shd w:fill="fff67a"/>
        </w:rPr>
        <w:t>1秒查询一次</w:t>
      </w:r>
      <w:r>
        <w:rPr>
          <w:rFonts w:eastAsia="等线" w:ascii="Arial" w:cs="Arial" w:hAnsi="Arial"/>
          <w:sz w:val="22"/>
        </w:rPr>
        <w:t>)和分析结果，如果分析结果为</w:t>
      </w:r>
      <w:r>
        <w:rPr>
          <w:rFonts w:eastAsia="等线" w:ascii="Arial" w:cs="Arial" w:hAnsi="Arial"/>
          <w:sz w:val="22"/>
          <w:shd w:fill="fff67a"/>
        </w:rPr>
        <w:t>干扰波或导联脱落</w:t>
      </w:r>
      <w:r>
        <w:rPr>
          <w:rFonts w:eastAsia="等线" w:ascii="Arial" w:cs="Arial" w:hAnsi="Arial"/>
          <w:sz w:val="22"/>
        </w:rPr>
        <w:t>，跳转到提交失败页面，否则提交到提交成功页面。</w:t>
      </w:r>
    </w:p>
    <w:p>
      <w:pPr>
        <w:numPr>
          <w:numId w:val="9"/>
        </w:numPr>
        <w:spacing w:before="120" w:after="120" w:line="288" w:lineRule="auto"/>
        <w:ind w:left="453"/>
        <w:jc w:val="left"/>
      </w:pPr>
      <w:r>
        <w:rPr>
          <w:rFonts w:eastAsia="等线" w:ascii="Arial" w:cs="Arial" w:hAnsi="Arial"/>
          <w:sz w:val="22"/>
        </w:rPr>
        <w:t>提交失败页面：显示提交失败文案。点击完成按钮，返回心电图详情页面。</w:t>
      </w:r>
    </w:p>
    <w:p>
      <w:pPr>
        <w:numPr>
          <w:numId w:val="10"/>
        </w:numPr>
        <w:spacing w:before="120" w:after="120" w:line="288" w:lineRule="auto"/>
        <w:ind w:left="453"/>
        <w:jc w:val="left"/>
      </w:pPr>
      <w:r>
        <w:rPr>
          <w:rFonts w:eastAsia="等线" w:ascii="Arial" w:cs="Arial" w:hAnsi="Arial"/>
          <w:sz w:val="22"/>
        </w:rPr>
        <w:t>提交成功页面：显示提交成功文案</w:t>
      </w:r>
    </w:p>
    <w:p>
      <w:pPr>
        <w:numPr>
          <w:numId w:val="11"/>
        </w:numPr>
        <w:spacing w:before="120" w:after="120" w:line="288" w:lineRule="auto"/>
        <w:ind w:left="907"/>
        <w:jc w:val="left"/>
      </w:pPr>
      <w:r>
        <w:rPr>
          <w:rFonts w:eastAsia="等线" w:ascii="Arial" w:cs="Arial" w:hAnsi="Arial"/>
          <w:sz w:val="22"/>
        </w:rPr>
        <w:t>点击完成按钮，返回心电图详情页面</w:t>
      </w:r>
    </w:p>
    <w:p>
      <w:pPr>
        <w:numPr>
          <w:numId w:val="12"/>
        </w:numPr>
        <w:spacing w:before="120" w:after="120" w:line="288" w:lineRule="auto"/>
        <w:ind w:left="907"/>
        <w:jc w:val="left"/>
      </w:pPr>
      <w:r>
        <w:rPr>
          <w:rFonts w:eastAsia="等线" w:ascii="Arial" w:cs="Arial" w:hAnsi="Arial"/>
          <w:sz w:val="22"/>
        </w:rPr>
        <w:t>点击联系方式按钮：显示输入手机号码弹窗</w:t>
      </w:r>
    </w:p>
    <w:p>
      <w:pPr>
        <w:numPr>
          <w:numId w:val="13"/>
        </w:numPr>
        <w:spacing w:before="120" w:after="120" w:line="288" w:lineRule="auto"/>
        <w:ind w:left="1360"/>
        <w:jc w:val="left"/>
      </w:pPr>
      <w:r>
        <w:rPr>
          <w:rFonts w:eastAsia="等线" w:ascii="Arial" w:cs="Arial" w:hAnsi="Arial"/>
          <w:sz w:val="22"/>
        </w:rPr>
        <w:t>点击确定按钮：验证是否为真实手机</w:t>
      </w:r>
    </w:p>
    <w:p>
      <w:pPr>
        <w:numPr>
          <w:numId w:val="14"/>
        </w:numPr>
        <w:spacing w:before="120" w:after="120" w:line="288" w:lineRule="auto"/>
        <w:ind w:left="1814"/>
        <w:jc w:val="left"/>
      </w:pPr>
      <w:r>
        <w:rPr>
          <w:rFonts w:eastAsia="等线" w:ascii="Arial" w:cs="Arial" w:hAnsi="Arial"/>
          <w:sz w:val="22"/>
        </w:rPr>
        <w:t>如果不是真实手机号，提示：请输入正确的手机号码</w:t>
      </w:r>
    </w:p>
    <w:p>
      <w:pPr>
        <w:numPr>
          <w:numId w:val="15"/>
        </w:numPr>
        <w:spacing w:before="120" w:after="120" w:line="288" w:lineRule="auto"/>
        <w:ind w:left="1814"/>
        <w:jc w:val="left"/>
      </w:pPr>
      <w:r>
        <w:rPr>
          <w:rFonts w:eastAsia="等线" w:ascii="Arial" w:cs="Arial" w:hAnsi="Arial"/>
          <w:sz w:val="22"/>
        </w:rPr>
        <w:t>如果是真实的手机号，文案改为若联系方式有变更，可点击修改。</w:t>
      </w:r>
    </w:p>
    <w:p>
      <w:pPr>
        <w:numPr>
          <w:numId w:val="16"/>
        </w:numPr>
        <w:spacing w:before="120" w:after="120" w:line="288" w:lineRule="auto"/>
        <w:ind w:left="2268"/>
        <w:jc w:val="left"/>
      </w:pPr>
      <w:r>
        <w:rPr>
          <w:rFonts w:eastAsia="等线" w:ascii="Arial" w:cs="Arial" w:hAnsi="Arial"/>
          <w:sz w:val="22"/>
        </w:rPr>
        <w:t>点击修改按钮：显示输入手机号码弹窗</w:t>
      </w:r>
    </w:p>
    <w:p>
      <w:pPr>
        <w:spacing w:before="120" w:after="120" w:line="288" w:lineRule="auto"/>
        <w:ind w:left="0"/>
        <w:jc w:val="left"/>
      </w:pPr>
      <w:r>
        <w:rPr>
          <w:rFonts w:eastAsia="等线" w:ascii="Arial" w:cs="Arial" w:hAnsi="Arial"/>
          <w:sz w:val="22"/>
          <w:shd w:fill="fff67a"/>
        </w:rPr>
        <w:t>v1.0版本不实现支付流程</w:t>
      </w:r>
    </w:p>
    <w:p>
      <w:pPr>
        <w:spacing w:before="120" w:after="120" w:line="288" w:lineRule="auto"/>
        <w:ind w:left="0"/>
        <w:jc w:val="left"/>
      </w:pPr>
      <w:r>
        <w:rPr>
          <w:rFonts w:eastAsia="等线" w:ascii="Arial" w:cs="Arial" w:hAnsi="Arial"/>
          <w:sz w:val="22"/>
        </w:rPr>
        <w:t>交互图：</w:t>
      </w:r>
    </w:p>
    <w:p>
      <w:pPr>
        <w:spacing w:before="120" w:after="120" w:line="288" w:lineRule="auto"/>
        <w:ind w:left="0"/>
        <w:jc w:val="center"/>
      </w:pPr>
      <w:r>
        <w:drawing>
          <wp:inline distT="0" distR="0" distB="0" distL="0">
            <wp:extent cx="5257800" cy="55721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0"/>
                    <a:stretch>
                      <a:fillRect/>
                    </a:stretch>
                  </pic:blipFill>
                  <pic:spPr>
                    <a:xfrm>
                      <a:off x="0" y="0"/>
                      <a:ext cx="5257800" cy="5572125"/>
                    </a:xfrm>
                    <a:prstGeom prst="rect">
                      <a:avLst/>
                    </a:prstGeom>
                  </pic:spPr>
                </pic:pic>
              </a:graphicData>
            </a:graphic>
          </wp:inline>
        </w:drawing>
      </w:r>
    </w:p>
    <w:p>
      <w:pPr>
        <w:pStyle w:val="3"/>
        <w:spacing w:before="300" w:after="120" w:line="288" w:lineRule="auto"/>
        <w:ind w:left="0"/>
        <w:jc w:val="left"/>
        <w:outlineLvl w:val="2"/>
      </w:pPr>
      <w:bookmarkStart w:name="heading_18" w:id="18"/>
      <w:r>
        <w:rPr>
          <w:rFonts w:eastAsia="等线" w:ascii="Arial" w:cs="Arial" w:hAnsi="Arial"/>
          <w:b w:val="true"/>
          <w:sz w:val="30"/>
        </w:rPr>
        <w:t>心电解读结果查看</w:t>
      </w:r>
      <w:bookmarkEnd w:id="18"/>
    </w:p>
    <w:p>
      <w:pPr>
        <w:spacing w:before="120" w:after="120" w:line="288" w:lineRule="auto"/>
        <w:ind w:left="0"/>
        <w:jc w:val="left"/>
      </w:pPr>
      <w:r>
        <w:rPr>
          <w:rFonts w:eastAsia="等线" w:ascii="Arial" w:cs="Arial" w:hAnsi="Arial"/>
          <w:sz w:val="22"/>
        </w:rPr>
        <w:t>心电解读完成后，点击查看报告按钮，进入心电解读结果页面：</w:t>
      </w:r>
    </w:p>
    <w:p>
      <w:pPr>
        <w:spacing w:before="120" w:after="120" w:line="288" w:lineRule="auto"/>
        <w:ind w:left="0"/>
        <w:jc w:val="left"/>
      </w:pPr>
      <w:r>
        <w:rPr>
          <w:rFonts w:eastAsia="等线" w:ascii="Arial" w:cs="Arial" w:hAnsi="Arial"/>
          <w:sz w:val="22"/>
        </w:rPr>
        <w:t>页面内容：</w:t>
      </w:r>
    </w:p>
    <w:p>
      <w:pPr>
        <w:numPr>
          <w:numId w:val="17"/>
        </w:numPr>
        <w:spacing w:before="120" w:after="120" w:line="288" w:lineRule="auto"/>
        <w:ind w:left="0"/>
        <w:jc w:val="left"/>
      </w:pPr>
      <w:r>
        <w:rPr>
          <w:rFonts w:eastAsia="等线" w:ascii="Arial" w:cs="Arial" w:hAnsi="Arial"/>
          <w:sz w:val="22"/>
        </w:rPr>
        <w:t>姓名：显示用户昵称</w:t>
      </w:r>
    </w:p>
    <w:p>
      <w:pPr>
        <w:numPr>
          <w:numId w:val="18"/>
        </w:numPr>
        <w:spacing w:before="120" w:after="120" w:line="288" w:lineRule="auto"/>
        <w:ind w:left="0"/>
        <w:jc w:val="left"/>
      </w:pPr>
      <w:r>
        <w:rPr>
          <w:rFonts w:eastAsia="等线" w:ascii="Arial" w:cs="Arial" w:hAnsi="Arial"/>
          <w:sz w:val="22"/>
        </w:rPr>
        <w:t>性别：显示用户性别</w:t>
      </w:r>
    </w:p>
    <w:p>
      <w:pPr>
        <w:numPr>
          <w:numId w:val="19"/>
        </w:numPr>
        <w:spacing w:before="120" w:after="120" w:line="288" w:lineRule="auto"/>
        <w:ind w:left="0"/>
        <w:jc w:val="left"/>
      </w:pPr>
      <w:r>
        <w:rPr>
          <w:rFonts w:eastAsia="等线" w:ascii="Arial" w:cs="Arial" w:hAnsi="Arial"/>
          <w:sz w:val="22"/>
        </w:rPr>
        <w:t>年龄：显示用户年龄</w:t>
      </w:r>
    </w:p>
    <w:p>
      <w:pPr>
        <w:numPr>
          <w:numId w:val="20"/>
        </w:numPr>
        <w:spacing w:before="120" w:after="120" w:line="288" w:lineRule="auto"/>
        <w:ind w:left="0"/>
        <w:jc w:val="left"/>
      </w:pPr>
      <w:r>
        <w:rPr>
          <w:rFonts w:eastAsia="等线" w:ascii="Arial" w:cs="Arial" w:hAnsi="Arial"/>
          <w:sz w:val="22"/>
        </w:rPr>
        <w:t>提交解读时间：显示用户提交解读的时间，精确到秒</w:t>
      </w:r>
    </w:p>
    <w:p>
      <w:pPr>
        <w:numPr>
          <w:numId w:val="21"/>
        </w:numPr>
        <w:spacing w:before="120" w:after="120" w:line="288" w:lineRule="auto"/>
        <w:ind w:left="0"/>
        <w:jc w:val="left"/>
      </w:pPr>
      <w:r>
        <w:rPr>
          <w:rFonts w:eastAsia="等线" w:ascii="Arial" w:cs="Arial" w:hAnsi="Arial"/>
          <w:sz w:val="22"/>
        </w:rPr>
        <w:t>医生信息：显示医生</w:t>
      </w:r>
      <w:r>
        <w:rPr>
          <w:rFonts w:eastAsia="等线" w:ascii="Arial" w:cs="Arial" w:hAnsi="Arial"/>
          <w:sz w:val="22"/>
        </w:rPr>
        <w:t>头像</w:t>
      </w:r>
      <w:r>
        <w:rPr>
          <w:rFonts w:eastAsia="等线" w:ascii="Arial" w:cs="Arial" w:hAnsi="Arial"/>
          <w:sz w:val="22"/>
        </w:rPr>
        <w:t>，医生所在医院，医生职称，</w:t>
      </w:r>
      <w:r>
        <w:rPr>
          <w:rFonts w:eastAsia="等线" w:ascii="Arial" w:cs="Arial" w:hAnsi="Arial"/>
          <w:sz w:val="22"/>
          <w:shd w:fill="fff67a"/>
        </w:rPr>
        <w:t>不可点击</w:t>
      </w:r>
    </w:p>
    <w:p>
      <w:pPr>
        <w:numPr>
          <w:numId w:val="22"/>
        </w:numPr>
        <w:spacing w:before="120" w:after="120" w:line="288" w:lineRule="auto"/>
        <w:ind w:left="0"/>
        <w:jc w:val="left"/>
      </w:pPr>
      <w:r>
        <w:rPr>
          <w:rFonts w:eastAsia="等线" w:ascii="Arial" w:cs="Arial" w:hAnsi="Arial"/>
          <w:sz w:val="22"/>
        </w:rPr>
        <w:t>平均心率：显示医生解读后的平均心率</w:t>
      </w:r>
    </w:p>
    <w:p>
      <w:pPr>
        <w:numPr>
          <w:numId w:val="23"/>
        </w:numPr>
        <w:spacing w:before="120" w:after="120" w:line="288" w:lineRule="auto"/>
        <w:ind w:left="0"/>
        <w:jc w:val="left"/>
      </w:pPr>
      <w:r>
        <w:rPr>
          <w:rFonts w:eastAsia="等线" w:ascii="Arial" w:cs="Arial" w:hAnsi="Arial"/>
          <w:sz w:val="22"/>
        </w:rPr>
        <w:t>测量时间：显示医生解读完成的日期、时间，精确到秒</w:t>
      </w:r>
    </w:p>
    <w:p>
      <w:pPr>
        <w:numPr>
          <w:numId w:val="24"/>
        </w:numPr>
        <w:spacing w:before="120" w:after="120" w:line="288" w:lineRule="auto"/>
        <w:ind w:left="0"/>
        <w:jc w:val="left"/>
      </w:pPr>
      <w:r>
        <w:rPr>
          <w:rFonts w:eastAsia="等线" w:ascii="Arial" w:cs="Arial" w:hAnsi="Arial"/>
          <w:sz w:val="22"/>
        </w:rPr>
        <w:t>测量时长：显示心电图测量时长</w:t>
      </w:r>
    </w:p>
    <w:p>
      <w:pPr>
        <w:numPr>
          <w:numId w:val="25"/>
        </w:numPr>
        <w:spacing w:before="120" w:after="120" w:line="288" w:lineRule="auto"/>
        <w:ind w:left="0"/>
        <w:jc w:val="left"/>
      </w:pPr>
      <w:r>
        <w:rPr>
          <w:rFonts w:eastAsia="等线" w:ascii="Arial" w:cs="Arial" w:hAnsi="Arial"/>
          <w:sz w:val="22"/>
        </w:rPr>
        <w:t>心电图：显示前3秒心电图。</w:t>
      </w:r>
    </w:p>
    <w:p>
      <w:pPr>
        <w:numPr>
          <w:numId w:val="26"/>
        </w:numPr>
        <w:spacing w:before="120" w:after="120" w:line="288" w:lineRule="auto"/>
        <w:ind w:left="0"/>
        <w:jc w:val="left"/>
      </w:pPr>
      <w:r>
        <w:rPr>
          <w:rFonts w:eastAsia="等线" w:ascii="Arial" w:cs="Arial" w:hAnsi="Arial"/>
          <w:sz w:val="22"/>
        </w:rPr>
        <w:t>心电图分析印象：显示医生解读后的心电图分析印象，算法返回</w:t>
      </w:r>
    </w:p>
    <w:p>
      <w:pPr>
        <w:numPr>
          <w:numId w:val="27"/>
        </w:numPr>
        <w:spacing w:before="120" w:after="120" w:line="288" w:lineRule="auto"/>
        <w:ind w:left="0"/>
        <w:jc w:val="left"/>
      </w:pPr>
      <w:r>
        <w:rPr>
          <w:rFonts w:eastAsia="等线" w:ascii="Arial" w:cs="Arial" w:hAnsi="Arial"/>
          <w:sz w:val="22"/>
        </w:rPr>
        <w:t>解读结果：显示结构化结论，用逗号隔开</w:t>
      </w:r>
    </w:p>
    <w:p>
      <w:pPr>
        <w:numPr>
          <w:numId w:val="28"/>
        </w:numPr>
        <w:spacing w:before="120" w:after="120" w:line="288" w:lineRule="auto"/>
        <w:ind w:left="0"/>
        <w:jc w:val="left"/>
      </w:pPr>
      <w:r>
        <w:rPr>
          <w:rFonts w:eastAsia="等线" w:ascii="Arial" w:cs="Arial" w:hAnsi="Arial"/>
          <w:sz w:val="22"/>
        </w:rPr>
        <w:t>详细解读结果：显示医生的详细解读结果</w:t>
      </w:r>
    </w:p>
    <w:p>
      <w:pPr>
        <w:numPr>
          <w:numId w:val="29"/>
        </w:numPr>
        <w:spacing w:before="120" w:after="120" w:line="288" w:lineRule="auto"/>
        <w:ind w:left="0"/>
        <w:jc w:val="left"/>
      </w:pPr>
      <w:r>
        <w:rPr>
          <w:rFonts w:eastAsia="等线" w:ascii="Arial" w:cs="Arial" w:hAnsi="Arial"/>
          <w:sz w:val="22"/>
        </w:rPr>
        <w:t>医生签名：显示对应的医生签名图片</w:t>
      </w:r>
    </w:p>
    <w:p>
      <w:pPr>
        <w:numPr>
          <w:numId w:val="30"/>
        </w:numPr>
        <w:spacing w:before="120" w:after="120" w:line="288" w:lineRule="auto"/>
        <w:ind w:left="0"/>
        <w:jc w:val="left"/>
      </w:pPr>
      <w:r>
        <w:rPr>
          <w:rFonts w:eastAsia="等线" w:ascii="Arial" w:cs="Arial" w:hAnsi="Arial"/>
          <w:sz w:val="22"/>
        </w:rPr>
        <w:t>医院：显示医生所在医院</w:t>
      </w:r>
    </w:p>
    <w:p>
      <w:pPr>
        <w:numPr>
          <w:numId w:val="31"/>
        </w:numPr>
        <w:spacing w:before="120" w:after="120" w:line="288" w:lineRule="auto"/>
        <w:ind w:left="0"/>
        <w:jc w:val="left"/>
      </w:pPr>
      <w:r>
        <w:rPr>
          <w:rFonts w:eastAsia="等线" w:ascii="Arial" w:cs="Arial" w:hAnsi="Arial"/>
          <w:sz w:val="22"/>
        </w:rPr>
        <w:t>日期：显示医生解读完成的日期</w:t>
      </w:r>
    </w:p>
    <w:p>
      <w:pPr>
        <w:numPr>
          <w:numId w:val="32"/>
        </w:numPr>
        <w:spacing w:before="120" w:after="120" w:line="288" w:lineRule="auto"/>
        <w:ind w:left="0"/>
        <w:jc w:val="left"/>
      </w:pPr>
      <w:r>
        <w:rPr>
          <w:rFonts w:eastAsia="等线" w:ascii="Arial" w:cs="Arial" w:hAnsi="Arial"/>
          <w:sz w:val="22"/>
        </w:rPr>
        <w:t>健康保健建议：显示医生解读后的心电分析、处置建议和保健建议</w:t>
      </w:r>
    </w:p>
    <w:p>
      <w:pPr>
        <w:numPr>
          <w:numId w:val="33"/>
        </w:numPr>
        <w:spacing w:before="120" w:after="120" w:line="288" w:lineRule="auto"/>
        <w:ind w:left="0"/>
        <w:jc w:val="left"/>
      </w:pPr>
      <w:r>
        <w:rPr>
          <w:rFonts w:eastAsia="等线" w:ascii="Arial" w:cs="Arial" w:hAnsi="Arial"/>
          <w:sz w:val="22"/>
        </w:rPr>
        <w:t>心电测量指标：显示25项心电测量指标、参考值、是否正常（</w:t>
      </w:r>
      <w:r>
        <w:rPr>
          <w:rFonts w:eastAsia="等线" w:ascii="Arial" w:cs="Arial" w:hAnsi="Arial"/>
          <w:sz w:val="22"/>
          <w:shd w:fill="fff67a"/>
        </w:rPr>
        <w:t>基于心知了平台标准输出</w:t>
      </w:r>
      <w:r>
        <w:rPr>
          <w:rFonts w:eastAsia="等线" w:ascii="Arial" w:cs="Arial" w:hAnsi="Arial"/>
          <w:sz w:val="22"/>
        </w:rPr>
        <w:t>），默认显示前两项，其他点击下箭头展开，展开后可点击上箭头收起</w:t>
      </w:r>
    </w:p>
    <w:p>
      <w:pPr>
        <w:numPr>
          <w:numId w:val="34"/>
        </w:numPr>
        <w:spacing w:before="120" w:after="120" w:line="288" w:lineRule="auto"/>
        <w:ind w:left="453"/>
        <w:jc w:val="left"/>
      </w:pPr>
      <w:r>
        <w:rPr>
          <w:rFonts w:eastAsia="等线" w:ascii="Arial" w:cs="Arial" w:hAnsi="Arial"/>
          <w:sz w:val="22"/>
        </w:rPr>
        <w:t>点击指标，弹窗显示指标对应的解释说明</w:t>
      </w:r>
    </w:p>
    <w:p>
      <w:pPr>
        <w:numPr>
          <w:numId w:val="35"/>
        </w:numPr>
        <w:spacing w:before="120" w:after="120" w:line="288" w:lineRule="auto"/>
        <w:ind w:left="0"/>
        <w:jc w:val="left"/>
      </w:pPr>
      <w:r>
        <w:rPr>
          <w:rFonts w:eastAsia="等线" w:ascii="Arial" w:cs="Arial" w:hAnsi="Arial"/>
          <w:sz w:val="22"/>
        </w:rPr>
        <w:t>说明：显示每一种结论的解释说明</w:t>
      </w:r>
    </w:p>
    <w:p>
      <w:pPr>
        <w:numPr>
          <w:numId w:val="36"/>
        </w:numPr>
        <w:spacing w:before="120" w:after="120" w:line="288" w:lineRule="auto"/>
        <w:ind w:left="0"/>
        <w:jc w:val="left"/>
      </w:pPr>
      <w:r>
        <w:rPr>
          <w:rFonts w:eastAsia="等线" w:ascii="Arial" w:cs="Arial" w:hAnsi="Arial"/>
          <w:sz w:val="22"/>
        </w:rPr>
        <w:t>底部文案：固定文案：</w:t>
      </w:r>
    </w:p>
    <w:p>
      <w:pPr>
        <w:spacing w:before="120" w:after="120" w:line="288" w:lineRule="auto"/>
        <w:ind w:left="453"/>
        <w:jc w:val="left"/>
      </w:pPr>
      <w:r>
        <w:rPr>
          <w:rFonts w:eastAsia="等线" w:ascii="Arial" w:cs="Arial" w:hAnsi="Arial"/>
          <w:sz w:val="22"/>
        </w:rPr>
        <w:t>服务电话：400-0785-120</w:t>
      </w:r>
    </w:p>
    <w:p>
      <w:pPr>
        <w:spacing w:before="120" w:after="120" w:line="288" w:lineRule="auto"/>
        <w:ind w:left="453"/>
        <w:jc w:val="left"/>
      </w:pPr>
      <w:r>
        <w:rPr>
          <w:rFonts w:eastAsia="等线" w:ascii="Arial" w:cs="Arial" w:hAnsi="Arial"/>
          <w:sz w:val="22"/>
        </w:rPr>
        <w:t>由国家远程医疗与互联网医学中心和浙江好络维医疗技术有限公司提供</w:t>
      </w:r>
    </w:p>
    <w:p>
      <w:pPr>
        <w:spacing w:before="120" w:after="120" w:line="288" w:lineRule="auto"/>
        <w:ind w:left="453"/>
        <w:jc w:val="left"/>
      </w:pPr>
      <w:r>
        <w:rPr>
          <w:rFonts w:eastAsia="等线" w:ascii="Arial" w:cs="Arial" w:hAnsi="Arial"/>
          <w:sz w:val="22"/>
        </w:rPr>
        <w:t>解读结果仅供参考，不作为医疗诊断和治疗的依据</w:t>
      </w:r>
    </w:p>
    <w:p>
      <w:pPr>
        <w:pStyle w:val="3"/>
        <w:spacing w:before="300" w:after="120" w:line="288" w:lineRule="auto"/>
        <w:ind w:left="0"/>
        <w:jc w:val="left"/>
        <w:outlineLvl w:val="2"/>
      </w:pPr>
      <w:bookmarkStart w:name="heading_19" w:id="19"/>
      <w:r>
        <w:rPr>
          <w:rFonts w:eastAsia="等线" w:ascii="Arial" w:cs="Arial" w:hAnsi="Arial"/>
          <w:b w:val="true"/>
          <w:sz w:val="30"/>
        </w:rPr>
        <w:t>推送通知</w:t>
      </w:r>
      <w:bookmarkEnd w:id="19"/>
    </w:p>
    <w:p>
      <w:pPr>
        <w:spacing w:before="120" w:after="120" w:line="288" w:lineRule="auto"/>
        <w:ind w:left="0"/>
        <w:jc w:val="left"/>
      </w:pPr>
      <w:r>
        <w:rPr>
          <w:rFonts w:eastAsia="等线" w:ascii="Arial" w:cs="Arial" w:hAnsi="Arial"/>
          <w:sz w:val="22"/>
        </w:rPr>
        <w:t>推送需求：</w:t>
      </w:r>
      <w:r>
        <w:rPr>
          <w:rFonts w:eastAsia="等线" w:ascii="Arial" w:cs="Arial" w:hAnsi="Arial"/>
          <w:sz w:val="22"/>
          <w:shd w:fill="fff67a"/>
        </w:rPr>
        <w:t>提交解读</w:t>
      </w:r>
      <w:r>
        <w:rPr>
          <w:rFonts w:eastAsia="等线" w:ascii="Arial" w:cs="Arial" w:hAnsi="Arial"/>
          <w:sz w:val="22"/>
        </w:rPr>
        <w:t>、</w:t>
      </w:r>
      <w:r>
        <w:rPr>
          <w:rFonts w:eastAsia="等线" w:ascii="Arial" w:cs="Arial" w:hAnsi="Arial"/>
          <w:sz w:val="22"/>
          <w:shd w:fill="fff67a"/>
        </w:rPr>
        <w:t>解读完成</w:t>
      </w:r>
      <w:r>
        <w:rPr>
          <w:rFonts w:eastAsia="等线" w:ascii="Arial" w:cs="Arial" w:hAnsi="Arial"/>
          <w:sz w:val="22"/>
        </w:rPr>
        <w:t>、</w:t>
      </w:r>
      <w:r>
        <w:rPr>
          <w:rFonts w:eastAsia="等线" w:ascii="Arial" w:cs="Arial" w:hAnsi="Arial"/>
          <w:sz w:val="22"/>
          <w:shd w:fill="fff67a"/>
        </w:rPr>
        <w:t>标记为疑难心电图</w:t>
      </w:r>
      <w:r>
        <w:rPr>
          <w:rFonts w:eastAsia="等线" w:ascii="Arial" w:cs="Arial" w:hAnsi="Arial"/>
          <w:sz w:val="22"/>
        </w:rPr>
        <w:t>需要推送通知小米更新状态</w:t>
      </w:r>
    </w:p>
    <w:p>
      <w:pPr>
        <w:pStyle w:val="2"/>
        <w:spacing w:before="320" w:after="120" w:line="288" w:lineRule="auto"/>
        <w:ind w:left="0"/>
        <w:jc w:val="left"/>
        <w:outlineLvl w:val="1"/>
      </w:pPr>
      <w:bookmarkStart w:name="heading_20" w:id="20"/>
      <w:r>
        <w:rPr>
          <w:rFonts w:eastAsia="等线" w:ascii="Arial" w:cs="Arial" w:hAnsi="Arial"/>
          <w:b w:val="true"/>
          <w:sz w:val="32"/>
        </w:rPr>
        <w:t>支持系统需求功能说明</w:t>
      </w:r>
      <w:bookmarkEnd w:id="20"/>
    </w:p>
    <w:p>
      <w:pPr>
        <w:pStyle w:val="3"/>
        <w:spacing w:before="300" w:after="120" w:line="288" w:lineRule="auto"/>
        <w:ind w:left="0"/>
        <w:jc w:val="left"/>
        <w:outlineLvl w:val="2"/>
      </w:pPr>
      <w:bookmarkStart w:name="heading_21" w:id="21"/>
      <w:r>
        <w:rPr>
          <w:rFonts w:eastAsia="等线" w:ascii="Arial" w:cs="Arial" w:hAnsi="Arial"/>
          <w:b w:val="true"/>
          <w:sz w:val="30"/>
        </w:rPr>
        <w:t>心知了医生工作站</w:t>
      </w:r>
      <w:bookmarkEnd w:id="21"/>
    </w:p>
    <w:p>
      <w:pPr>
        <w:spacing w:before="120" w:after="120" w:line="288" w:lineRule="auto"/>
        <w:ind w:left="0"/>
        <w:jc w:val="left"/>
      </w:pPr>
      <w:r>
        <w:rPr>
          <w:rFonts w:eastAsia="等线" w:ascii="Arial" w:cs="Arial" w:hAnsi="Arial"/>
          <w:sz w:val="22"/>
        </w:rPr>
        <w:t>1、支持小米订单的解读</w:t>
      </w:r>
    </w:p>
    <w:p>
      <w:pPr>
        <w:spacing w:before="120" w:after="120" w:line="288" w:lineRule="auto"/>
        <w:ind w:left="0"/>
        <w:jc w:val="left"/>
      </w:pPr>
      <w:r>
        <w:rPr>
          <w:rFonts w:eastAsia="等线" w:ascii="Arial" w:cs="Arial" w:hAnsi="Arial"/>
          <w:sz w:val="22"/>
        </w:rPr>
        <w:t>2、小米订单有对应的标识</w:t>
      </w:r>
    </w:p>
    <w:p>
      <w:pPr>
        <w:spacing w:before="120" w:after="120" w:line="288" w:lineRule="auto"/>
        <w:ind w:left="0"/>
        <w:jc w:val="left"/>
      </w:pPr>
      <w:r>
        <w:rPr>
          <w:rFonts w:eastAsia="等线" w:ascii="Arial" w:cs="Arial" w:hAnsi="Arial"/>
          <w:sz w:val="22"/>
        </w:rPr>
        <w:t>3、支持查看小米的订单记录</w:t>
      </w:r>
    </w:p>
    <w:p>
      <w:pPr>
        <w:pStyle w:val="3"/>
        <w:spacing w:before="300" w:after="120" w:line="288" w:lineRule="auto"/>
        <w:ind w:left="0"/>
        <w:jc w:val="left"/>
        <w:outlineLvl w:val="2"/>
      </w:pPr>
      <w:bookmarkStart w:name="heading_22" w:id="22"/>
      <w:r>
        <w:rPr>
          <w:rFonts w:eastAsia="等线" w:ascii="Arial" w:cs="Arial" w:hAnsi="Arial"/>
          <w:b w:val="true"/>
          <w:sz w:val="30"/>
        </w:rPr>
        <w:t>心知了运营系统</w:t>
      </w:r>
      <w:bookmarkEnd w:id="22"/>
    </w:p>
    <w:p>
      <w:pPr>
        <w:spacing w:before="120" w:after="120" w:line="288" w:lineRule="auto"/>
        <w:ind w:left="0"/>
        <w:jc w:val="left"/>
      </w:pPr>
      <w:r>
        <w:rPr>
          <w:rFonts w:eastAsia="等线" w:ascii="Arial" w:cs="Arial" w:hAnsi="Arial"/>
          <w:sz w:val="22"/>
        </w:rPr>
        <w:t>1、用户管理支持查看小米的用户</w:t>
      </w:r>
    </w:p>
    <w:p>
      <w:pPr>
        <w:spacing w:before="120" w:after="120" w:line="288" w:lineRule="auto"/>
        <w:ind w:left="0"/>
        <w:jc w:val="left"/>
      </w:pPr>
      <w:r>
        <w:rPr>
          <w:rFonts w:eastAsia="等线" w:ascii="Arial" w:cs="Arial" w:hAnsi="Arial"/>
          <w:sz w:val="22"/>
        </w:rPr>
        <w:t>2、服务记录支持查看小米的解读服务记录</w:t>
      </w:r>
    </w:p>
    <w:p>
      <w:pPr>
        <w:spacing w:before="120" w:after="120" w:line="288" w:lineRule="auto"/>
        <w:ind w:left="0"/>
        <w:jc w:val="left"/>
      </w:pPr>
      <w:r>
        <w:rPr>
          <w:rFonts w:eastAsia="等线" w:ascii="Arial" w:cs="Arial" w:hAnsi="Arial"/>
          <w:sz w:val="22"/>
        </w:rPr>
        <w:t>3、测量记录支持查看小米的心电测量记录</w:t>
      </w:r>
    </w:p>
    <w:p>
      <w:pPr>
        <w:spacing w:before="120" w:after="120" w:line="288" w:lineRule="auto"/>
        <w:ind w:left="0"/>
        <w:jc w:val="left"/>
      </w:pPr>
      <w:r>
        <w:rPr>
          <w:rFonts w:eastAsia="等线" w:ascii="Arial" w:cs="Arial" w:hAnsi="Arial"/>
          <w:sz w:val="22"/>
        </w:rPr>
        <w:t>4、医生管理支持增加小米心电解读服务开通</w:t>
      </w:r>
    </w:p>
    <w:p>
      <w:pPr>
        <w:spacing w:before="120" w:after="120" w:line="288" w:lineRule="auto"/>
        <w:ind w:left="0"/>
        <w:jc w:val="left"/>
      </w:pPr>
      <w:r>
        <w:rPr>
          <w:rFonts w:eastAsia="等线" w:ascii="Arial" w:cs="Arial" w:hAnsi="Arial"/>
          <w:sz w:val="22"/>
        </w:rPr>
        <w:t>5、支持小米订单的置信度分配</w:t>
      </w:r>
    </w:p>
    <w:p>
      <w:pPr>
        <w:pStyle w:val="1"/>
        <w:spacing w:before="380" w:after="140" w:line="288" w:lineRule="auto"/>
        <w:ind w:left="0"/>
        <w:jc w:val="left"/>
        <w:outlineLvl w:val="0"/>
      </w:pPr>
      <w:bookmarkStart w:name="heading_23" w:id="23"/>
      <w:r>
        <w:rPr>
          <w:rFonts w:eastAsia="等线" w:ascii="Arial" w:cs="Arial" w:hAnsi="Arial"/>
          <w:b w:val="true"/>
          <w:sz w:val="36"/>
        </w:rPr>
        <w:t>七、 非功能需求</w:t>
      </w:r>
      <w:bookmarkEnd w:id="23"/>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可以列举产品营销需求、运营需求、财务需求、法务需求、使用帮助、问题反馈等</w:t>
            </w:r>
          </w:p>
        </w:tc>
      </w:tr>
    </w:tbl>
    <w:p>
      <w:pPr>
        <w:spacing w:before="120" w:after="120" w:line="288" w:lineRule="auto"/>
        <w:ind w:left="0"/>
        <w:jc w:val="left"/>
      </w:pPr>
      <w:r>
        <w:rPr>
          <w:rFonts w:eastAsia="等线" w:ascii="Arial" w:cs="Arial" w:hAnsi="Arial"/>
          <w:sz w:val="22"/>
        </w:rPr>
        <w:t>兼容性需求：</w:t>
      </w:r>
    </w:p>
    <w:p>
      <w:pPr>
        <w:spacing w:before="120" w:after="120" w:line="288" w:lineRule="auto"/>
        <w:ind w:left="0"/>
        <w:jc w:val="left"/>
      </w:pPr>
      <w:r>
        <w:rPr>
          <w:rFonts w:eastAsia="等线" w:ascii="Arial" w:cs="Arial" w:hAnsi="Arial"/>
          <w:sz w:val="22"/>
        </w:rPr>
        <w:t>运行环境：小米运动健康App</w:t>
      </w:r>
    </w:p>
    <w:p>
      <w:pPr>
        <w:spacing w:before="120" w:after="120" w:line="288" w:lineRule="auto"/>
        <w:ind w:left="0"/>
        <w:jc w:val="left"/>
      </w:pPr>
      <w:r>
        <w:rPr>
          <w:rFonts w:eastAsia="等线" w:ascii="Arial" w:cs="Arial" w:hAnsi="Arial"/>
          <w:sz w:val="22"/>
        </w:rPr>
        <w:t>系统环境：</w:t>
      </w:r>
    </w:p>
    <w:p>
      <w:pPr>
        <w:numPr>
          <w:numId w:val="37"/>
        </w:numPr>
        <w:spacing w:before="120" w:after="120" w:line="288" w:lineRule="auto"/>
        <w:ind w:left="0"/>
        <w:jc w:val="left"/>
      </w:pPr>
      <w:r>
        <w:rPr>
          <w:rFonts w:eastAsia="等线" w:ascii="Arial" w:cs="Arial" w:hAnsi="Arial"/>
          <w:sz w:val="22"/>
        </w:rPr>
        <w:t>Android：Android6.0 及以上版本</w:t>
      </w:r>
    </w:p>
    <w:p>
      <w:pPr>
        <w:numPr>
          <w:numId w:val="38"/>
        </w:numPr>
        <w:spacing w:before="120" w:after="120" w:line="288" w:lineRule="auto"/>
        <w:ind w:left="0"/>
        <w:jc w:val="left"/>
      </w:pPr>
      <w:r>
        <w:rPr>
          <w:rFonts w:eastAsia="等线" w:ascii="Arial" w:cs="Arial" w:hAnsi="Arial"/>
          <w:sz w:val="22"/>
        </w:rPr>
        <w:t xml:space="preserve"> </w:t>
      </w:r>
      <w:r>
        <w:rPr>
          <w:rFonts w:eastAsia="等线" w:ascii="Arial" w:cs="Arial" w:hAnsi="Arial"/>
          <w:sz w:val="22"/>
        </w:rPr>
        <w:t>iOS</w:t>
      </w:r>
      <w:r>
        <w:rPr>
          <w:rFonts w:eastAsia="等线" w:ascii="Arial" w:cs="Arial" w:hAnsi="Arial"/>
          <w:sz w:val="22"/>
        </w:rPr>
        <w:t xml:space="preserve"> 12：iOS12及以上版本</w:t>
      </w:r>
    </w:p>
    <w:p>
      <w:pPr>
        <w:spacing w:before="120" w:after="120" w:line="288" w:lineRule="auto"/>
        <w:ind w:left="0"/>
        <w:jc w:val="left"/>
      </w:pPr>
      <w:r>
        <w:rPr>
          <w:rFonts w:eastAsia="等线" w:ascii="Arial" w:cs="Arial" w:hAnsi="Arial"/>
          <w:sz w:val="22"/>
        </w:rPr>
        <w:t>手机型号：</w:t>
      </w:r>
    </w:p>
    <w:p>
      <w:pPr>
        <w:spacing w:before="120" w:after="120" w:line="288" w:lineRule="auto"/>
        <w:ind w:left="0"/>
        <w:jc w:val="center"/>
      </w:pPr>
      <w:r>
        <w:drawing>
          <wp:inline distT="0" distR="0" distB="0" distL="0">
            <wp:extent cx="5257800" cy="54197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1"/>
                    <a:stretch>
                      <a:fillRect/>
                    </a:stretch>
                  </pic:blipFill>
                  <pic:spPr>
                    <a:xfrm>
                      <a:off x="0" y="0"/>
                      <a:ext cx="5257800" cy="54197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分辨率：</w:t>
      </w:r>
    </w:p>
    <w:p>
      <w:pPr>
        <w:spacing w:before="120" w:after="120" w:line="288" w:lineRule="auto"/>
        <w:ind w:left="0"/>
      </w:pPr>
      <w:r>
        <w:object>
          <v:shape id="_x0000_i1026" style="width:414pt;height:197pt;mso-width-percent:0;mso-height-percent:0;mso-width-percent:0;mso-height-percent:0" type="#_x0000_t75" o:ole="">
            <v:imagedata r:id="rId13" o:title=""/>
          </v:shape>
          <o:OLEObject DrawAspect="Icon" ObjectID="_1718471220" ProgID="Excel.Sheet.12" ShapeID="_x0000_i1026" Type="Embed" r:id="rId12"/>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多语言支持:中文，英文</w:t>
      </w:r>
    </w:p>
    <w:p>
      <w:pPr>
        <w:spacing w:before="120" w:after="120" w:line="288" w:lineRule="auto"/>
        <w:ind w:left="0"/>
        <w:jc w:val="left"/>
      </w:pPr>
      <w:r>
        <w:rPr>
          <w:rFonts w:eastAsia="等线" w:ascii="Arial" w:cs="Arial" w:hAnsi="Arial"/>
          <w:sz w:val="22"/>
        </w:rPr>
        <w:t>深色模式支持：支持</w:t>
      </w:r>
    </w:p>
    <w:p>
      <w:pPr>
        <w:pStyle w:val="1"/>
        <w:spacing w:before="380" w:after="140" w:line="288" w:lineRule="auto"/>
        <w:ind w:left="0"/>
        <w:jc w:val="left"/>
        <w:outlineLvl w:val="0"/>
      </w:pPr>
      <w:bookmarkStart w:name="heading_24" w:id="24"/>
      <w:r>
        <w:rPr>
          <w:rFonts w:eastAsia="等线" w:ascii="Arial" w:cs="Arial" w:hAnsi="Arial"/>
          <w:b w:val="true"/>
          <w:sz w:val="36"/>
        </w:rPr>
        <w:t xml:space="preserve">八、 </w:t>
      </w:r>
      <w:r>
        <w:rPr>
          <w:rFonts w:eastAsia="等线" w:ascii="Arial" w:cs="Arial" w:hAnsi="Arial"/>
          <w:b w:val="true"/>
          <w:sz w:val="36"/>
        </w:rPr>
        <w:t>埋点</w:t>
      </w:r>
      <w:bookmarkEnd w:id="2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550"/>
        <w:gridCol w:w="2595"/>
        <w:gridCol w:w="3135"/>
      </w:tblGrid>
      <w:tr>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参数名</w:t>
            </w:r>
          </w:p>
        </w:tc>
        <w:tc>
          <w:tcPr>
            <w:tcW w:w="25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参数说明</w:t>
            </w:r>
          </w:p>
        </w:tc>
        <w:tc>
          <w:tcPr>
            <w:tcW w:w="31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参数值</w:t>
            </w:r>
          </w:p>
        </w:tc>
      </w:tr>
      <w:tr>
        <w:tc>
          <w:tcPr>
            <w:tcW w:w="2550" w:type="dxa"/>
            <w:tcMar>
              <w:top w:type="dxa" w:w="60"/>
              <w:left w:type="dxa" w:w="120"/>
              <w:bottom w:type="dxa" w:w="30"/>
              <w:right w:type="dxa" w:w="120"/>
            </w:tcMar>
          </w:tcPr>
          <w:p>
            <w:pPr>
              <w:spacing w:before="120" w:after="120" w:line="288" w:lineRule="auto"/>
              <w:ind w:left="0"/>
              <w:jc w:val="left"/>
            </w:pPr>
          </w:p>
        </w:tc>
        <w:tc>
          <w:tcPr>
            <w:tcW w:w="2595" w:type="dxa"/>
            <w:tcMar>
              <w:top w:type="dxa" w:w="60"/>
              <w:left w:type="dxa" w:w="120"/>
              <w:bottom w:type="dxa" w:w="30"/>
              <w:right w:type="dxa" w:w="120"/>
            </w:tcMar>
          </w:tcPr>
          <w:p>
            <w:pPr>
              <w:spacing w:before="120" w:after="120" w:line="288" w:lineRule="auto"/>
              <w:ind w:left="0"/>
              <w:jc w:val="left"/>
            </w:pPr>
          </w:p>
        </w:tc>
        <w:tc>
          <w:tcPr>
            <w:tcW w:w="3135" w:type="dxa"/>
            <w:tcMar>
              <w:top w:type="dxa" w:w="60"/>
              <w:left w:type="dxa" w:w="120"/>
              <w:bottom w:type="dxa" w:w="30"/>
              <w:right w:type="dxa" w:w="120"/>
            </w:tcMar>
          </w:tcPr>
          <w:p>
            <w:pPr>
              <w:spacing w:before="120" w:after="120" w:line="288" w:lineRule="auto"/>
              <w:ind w:left="0"/>
              <w:jc w:val="left"/>
            </w:pPr>
          </w:p>
        </w:tc>
      </w:tr>
      <w:tr>
        <w:tc>
          <w:tcPr>
            <w:tcW w:w="2550" w:type="dxa"/>
            <w:tcMar>
              <w:top w:type="dxa" w:w="60"/>
              <w:left w:type="dxa" w:w="120"/>
              <w:bottom w:type="dxa" w:w="30"/>
              <w:right w:type="dxa" w:w="120"/>
            </w:tcMar>
          </w:tcPr>
          <w:p>
            <w:pPr>
              <w:spacing w:before="120" w:after="120" w:line="288" w:lineRule="auto"/>
              <w:ind w:left="0"/>
              <w:jc w:val="left"/>
            </w:pPr>
          </w:p>
        </w:tc>
        <w:tc>
          <w:tcPr>
            <w:tcW w:w="2595" w:type="dxa"/>
            <w:tcMar>
              <w:top w:type="dxa" w:w="60"/>
              <w:left w:type="dxa" w:w="120"/>
              <w:bottom w:type="dxa" w:w="30"/>
              <w:right w:type="dxa" w:w="120"/>
            </w:tcMar>
          </w:tcPr>
          <w:p>
            <w:pPr>
              <w:spacing w:before="120" w:after="120" w:line="288" w:lineRule="auto"/>
              <w:ind w:left="0"/>
              <w:jc w:val="left"/>
            </w:pPr>
          </w:p>
        </w:tc>
        <w:tc>
          <w:tcPr>
            <w:tcW w:w="3135" w:type="dxa"/>
            <w:tcMar>
              <w:top w:type="dxa" w:w="60"/>
              <w:left w:type="dxa" w:w="120"/>
              <w:bottom w:type="dxa" w:w="30"/>
              <w:right w:type="dxa" w:w="120"/>
            </w:tcMar>
          </w:tcPr>
          <w:p>
            <w:pPr>
              <w:spacing w:before="120" w:after="120" w:line="288" w:lineRule="auto"/>
              <w:ind w:left="0"/>
              <w:jc w:val="left"/>
            </w:pPr>
          </w:p>
        </w:tc>
      </w:tr>
      <w:tr>
        <w:tc>
          <w:tcPr>
            <w:tcW w:w="2550" w:type="dxa"/>
            <w:tcMar>
              <w:top w:type="dxa" w:w="60"/>
              <w:left w:type="dxa" w:w="120"/>
              <w:bottom w:type="dxa" w:w="30"/>
              <w:right w:type="dxa" w:w="120"/>
            </w:tcMar>
          </w:tcPr>
          <w:p>
            <w:pPr>
              <w:spacing w:before="120" w:after="120" w:line="288" w:lineRule="auto"/>
              <w:ind w:left="0"/>
              <w:jc w:val="left"/>
            </w:pPr>
          </w:p>
        </w:tc>
        <w:tc>
          <w:tcPr>
            <w:tcW w:w="2595" w:type="dxa"/>
            <w:tcMar>
              <w:top w:type="dxa" w:w="60"/>
              <w:left w:type="dxa" w:w="120"/>
              <w:bottom w:type="dxa" w:w="30"/>
              <w:right w:type="dxa" w:w="120"/>
            </w:tcMar>
          </w:tcPr>
          <w:p>
            <w:pPr>
              <w:spacing w:before="120" w:after="120" w:line="288" w:lineRule="auto"/>
              <w:ind w:left="0"/>
              <w:jc w:val="left"/>
            </w:pPr>
          </w:p>
        </w:tc>
        <w:tc>
          <w:tcPr>
            <w:tcW w:w="313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pStyle w:val="1"/>
        <w:spacing w:before="380" w:after="140" w:line="288" w:lineRule="auto"/>
        <w:ind w:left="0"/>
        <w:jc w:val="left"/>
        <w:outlineLvl w:val="0"/>
      </w:pPr>
      <w:bookmarkStart w:name="heading_25" w:id="25"/>
      <w:r>
        <w:rPr>
          <w:rFonts w:eastAsia="等线" w:ascii="Arial" w:cs="Arial" w:hAnsi="Arial"/>
          <w:b w:val="true"/>
          <w:sz w:val="36"/>
        </w:rPr>
        <w:t>九、 项目规划</w:t>
      </w:r>
      <w:bookmarkEnd w:id="25"/>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输入 @ 把正文提及的项目管理文档附在此处</w:t>
            </w:r>
          </w:p>
        </w:tc>
      </w:tr>
    </w:tbl>
    <w:p>
      <w:pPr>
        <w:spacing w:before="120" w:after="120" w:line="288" w:lineRule="auto"/>
        <w:ind w:left="0"/>
      </w:pPr>
      <w:r>
        <w:object>
          <v:shape id="_x0000_i1027" style="width:414pt;height:240pt;mso-width-percent:0;mso-height-percent:0;mso-width-percent:0;mso-height-percent:0" type="#_x0000_t75" o:ole="">
            <v:imagedata r:id="rId15" o:title=""/>
          </v:shape>
          <o:OLEObject DrawAspect="Icon" ObjectID="_1718471221" ProgID="Excel.Sheet.12" ShapeID="_x0000_i1027" Type="Embed" r:id="rId14"/>
        </w:object>
      </w:r>
    </w:p>
    <w:p>
      <w:pPr>
        <w:spacing w:after="120"/>
        <w:ind w:left="0"/>
        <w:jc w:val="center"/>
      </w:pPr>
      <w:r>
        <w:rPr>
          <w:rFonts w:eastAsia="等线" w:ascii="Arial" w:cs="Arial" w:hAnsi="Arial"/>
          <w:b w:val="true"/>
          <w:sz w:val="22"/>
        </w:rPr>
        <w:t>点击图片可查看完整表格</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26" w:id="26"/>
      <w:r>
        <w:rPr>
          <w:rFonts w:eastAsia="等线" w:ascii="Arial" w:cs="Arial" w:hAnsi="Arial"/>
          <w:b w:val="true"/>
          <w:sz w:val="36"/>
        </w:rPr>
        <w:t>附录</w:t>
      </w:r>
      <w:bookmarkEnd w:id="26"/>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输入 @ 把正文提及的具体文档，或需求相关的其他说明文档附在此处以供查阅</w:t>
            </w:r>
          </w:p>
        </w:tc>
      </w:tr>
    </w:tbl>
    <w:p/>
    <w:tbl>
      <w:tblPr>
        <w:tblW w:w="0" w:type="auto"/>
        <w:tblInd w:w="0" w:type="dxa"/>
        <w:tblBorders>
          <w:top w:val="none" w:space="4"/>
          <w:left w:val="none" w:space="4"/>
          <w:bottom w:val="none" w:space="4"/>
          <w:right w:val="none" w:space="4"/>
          <w:insideH w:val="none" w:space="4"/>
          <w:insideV w:val="none" w:space="4"/>
        </w:tblBorders>
        <w:tblLayout w:type="fixed"/>
      </w:tblPr>
      <w:tblGrid>
        <w:gridCol w:w="2760"/>
        <w:gridCol w:w="2760"/>
        <w:gridCol w:w="2760"/>
      </w:tblGrid>
      <w:tr>
        <w:tc>
          <w:tcPr>
            <w:tcW w:w="2760" w:type="dxa"/>
            <w:tcMar>
              <w:top w:type="dxa" w:w="60"/>
              <w:left w:type="dxa" w:w="120"/>
              <w:bottom w:type="dxa" w:w="30"/>
              <w:right w:type="dxa" w:w="120"/>
            </w:tcMar>
          </w:tcPr>
          <w:tbl>
            <w:tblPr>
              <w:tblW w:w="0" w:type="auto"/>
              <w:tblInd w:w="0" w:type="dxa"/>
              <w:tblBorders>
                <w:top w:val="single" w:color=""/>
                <w:left w:val="single" w:color=""/>
                <w:bottom w:val="single" w:color=""/>
                <w:right w:val="single" w:color=""/>
                <w:insideH w:val="single" w:color=""/>
                <w:insideV w:val="single" w:color=""/>
              </w:tblBorders>
              <w:tblLayout w:type="fixed"/>
            </w:tblPr>
            <w:tblGrid>
              <w:gridCol w:w="2520"/>
            </w:tblGrid>
            <w:tr>
              <w:tc>
                <w:tcPr>
                  <w:tcW w:w="2520" w:type="dxa"/>
                  <w:shd w:color="auto" w:val="clear" w:fill="f0fbef"/>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数据分析报告</w:t>
                  </w:r>
                </w:p>
              </w:tc>
            </w:tr>
          </w:tbl>
          <w:p>
            <w:pPr>
              <w:numPr>
                <w:numId w:val="39"/>
              </w:numPr>
              <w:spacing w:before="120" w:after="120" w:line="288" w:lineRule="auto"/>
              <w:ind w:left="0"/>
              <w:jc w:val="left"/>
            </w:pPr>
            <w:r>
              <w:rPr>
                <w:rFonts w:eastAsia="等线" w:ascii="Arial" w:cs="Arial" w:hAnsi="Arial"/>
                <w:sz w:val="22"/>
              </w:rPr>
              <w:t>此处插入数据分析报告</w:t>
            </w:r>
          </w:p>
        </w:tc>
        <w:tc>
          <w:tcPr>
            <w:tcW w:w="2760" w:type="dxa"/>
            <w:tcMar>
              <w:top w:type="dxa" w:w="60"/>
              <w:left w:type="dxa" w:w="120"/>
              <w:bottom w:type="dxa" w:w="30"/>
              <w:right w:type="dxa" w:w="120"/>
            </w:tcMar>
          </w:tcPr>
          <w:tbl>
            <w:tblPr>
              <w:tblW w:w="0" w:type="auto"/>
              <w:tblInd w:w="0" w:type="dxa"/>
              <w:tblBorders>
                <w:top w:val="single" w:color=""/>
                <w:left w:val="single" w:color=""/>
                <w:bottom w:val="single" w:color=""/>
                <w:right w:val="single" w:color=""/>
                <w:insideH w:val="single" w:color=""/>
                <w:insideV w:val="single" w:color=""/>
              </w:tblBorders>
              <w:tblLayout w:type="fixed"/>
            </w:tblPr>
            <w:tblGrid>
              <w:gridCol w:w="2520"/>
            </w:tblGrid>
            <w:tr>
              <w:tc>
                <w:tcPr>
                  <w:tcW w:w="252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用户调研报告</w:t>
                  </w:r>
                </w:p>
              </w:tc>
            </w:tr>
          </w:tbl>
          <w:p>
            <w:pPr>
              <w:numPr>
                <w:numId w:val="40"/>
              </w:numPr>
              <w:spacing w:before="120" w:after="120" w:line="288" w:lineRule="auto"/>
              <w:ind w:left="0"/>
              <w:jc w:val="left"/>
            </w:pPr>
            <w:r>
              <w:rPr>
                <w:rFonts w:eastAsia="等线" w:ascii="Arial" w:cs="Arial" w:hAnsi="Arial"/>
                <w:sz w:val="22"/>
              </w:rPr>
              <w:t>此处插入用户调研报告</w:t>
            </w:r>
          </w:p>
        </w:tc>
        <w:tc>
          <w:tcPr>
            <w:tcW w:w="2760" w:type="dxa"/>
            <w:tcMar>
              <w:top w:type="dxa" w:w="60"/>
              <w:left w:type="dxa" w:w="120"/>
              <w:bottom w:type="dxa" w:w="30"/>
              <w:right w:type="dxa" w:w="120"/>
            </w:tcMar>
          </w:tcPr>
          <w:tbl>
            <w:tblPr>
              <w:tblW w:w="0" w:type="auto"/>
              <w:tblInd w:w="0" w:type="dxa"/>
              <w:tblBorders>
                <w:top w:val="single" w:color=""/>
                <w:left w:val="single" w:color=""/>
                <w:bottom w:val="single" w:color=""/>
                <w:right w:val="single" w:color=""/>
                <w:insideH w:val="single" w:color=""/>
                <w:insideV w:val="single" w:color=""/>
              </w:tblBorders>
              <w:tblLayout w:type="fixed"/>
            </w:tblPr>
            <w:tblGrid>
              <w:gridCol w:w="2520"/>
            </w:tblGrid>
            <w:tr>
              <w:tc>
                <w:tcPr>
                  <w:tcW w:w="252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设计分析报告</w:t>
                  </w:r>
                </w:p>
              </w:tc>
            </w:tr>
          </w:tbl>
          <w:p>
            <w:pPr>
              <w:numPr>
                <w:numId w:val="41"/>
              </w:numPr>
              <w:spacing w:before="120" w:after="120" w:line="288" w:lineRule="auto"/>
              <w:ind w:left="0"/>
              <w:jc w:val="left"/>
            </w:pPr>
            <w:r>
              <w:rPr>
                <w:rFonts w:eastAsia="等线" w:ascii="Arial" w:cs="Arial" w:hAnsi="Arial"/>
                <w:sz w:val="22"/>
              </w:rPr>
              <w:t>此处插入设计分析报告</w:t>
            </w:r>
          </w:p>
        </w:tc>
      </w:tr>
    </w:tbl>
    <w:p>
      <w:pPr>
        <w:spacing w:before="120" w:after="120" w:line="288" w:lineRule="auto"/>
        <w:ind w:left="0"/>
        <w:jc w:val="left"/>
      </w:pPr>
    </w:p>
    <w:sectPr>
      <w:footerReference w:type="default" r:id="rId3"/>
      <w:headerReference w:type="default" r:id="rId1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1722960">
    <w:lvl>
      <w:numFmt w:val="bullet"/>
      <w:suff w:val="tab"/>
      <w:lvlText w:val="•"/>
      <w:rPr>
        <w:color w:val="3370ff"/>
      </w:rPr>
    </w:lvl>
  </w:abstractNum>
  <w:abstractNum w:abstractNumId="1722961">
    <w:lvl>
      <w:numFmt w:val="bullet"/>
      <w:suff w:val="tab"/>
      <w:lvlText w:val="•"/>
      <w:rPr>
        <w:color w:val="3370ff"/>
      </w:rPr>
    </w:lvl>
  </w:abstractNum>
  <w:abstractNum w:abstractNumId="1722962">
    <w:lvl>
      <w:numFmt w:val="bullet"/>
      <w:suff w:val="tab"/>
      <w:lvlText w:val="•"/>
      <w:rPr>
        <w:color w:val="3370ff"/>
      </w:rPr>
    </w:lvl>
  </w:abstractNum>
  <w:abstractNum w:abstractNumId="1722963">
    <w:lvl>
      <w:numFmt w:val="bullet"/>
      <w:suff w:val="tab"/>
      <w:lvlText w:val="•"/>
      <w:rPr>
        <w:color w:val="3370ff"/>
      </w:rPr>
    </w:lvl>
  </w:abstractNum>
  <w:abstractNum w:abstractNumId="1722964">
    <w:lvl>
      <w:numFmt w:val="bullet"/>
      <w:suff w:val="tab"/>
      <w:lvlText w:val="•"/>
      <w:rPr>
        <w:color w:val="3370ff"/>
      </w:rPr>
    </w:lvl>
  </w:abstractNum>
  <w:abstractNum w:abstractNumId="1722965">
    <w:lvl>
      <w:numFmt w:val="bullet"/>
      <w:suff w:val="tab"/>
      <w:lvlText w:val="•"/>
      <w:rPr>
        <w:color w:val="3370ff"/>
      </w:rPr>
    </w:lvl>
  </w:abstractNum>
  <w:abstractNum w:abstractNumId="1722966">
    <w:lvl>
      <w:numFmt w:val="bullet"/>
      <w:suff w:val="tab"/>
      <w:lvlText w:val="•"/>
      <w:rPr>
        <w:color w:val="3370ff"/>
      </w:rPr>
    </w:lvl>
  </w:abstractNum>
  <w:abstractNum w:abstractNumId="1722967">
    <w:lvl>
      <w:numFmt w:val="bullet"/>
      <w:suff w:val="tab"/>
      <w:lvlText w:val="•"/>
      <w:rPr>
        <w:color w:val="3370ff"/>
      </w:rPr>
    </w:lvl>
  </w:abstractNum>
  <w:abstractNum w:abstractNumId="1722968">
    <w:lvl>
      <w:numFmt w:val="bullet"/>
      <w:suff w:val="tab"/>
      <w:lvlText w:val="￮"/>
      <w:rPr>
        <w:color w:val="3370ff"/>
      </w:rPr>
    </w:lvl>
  </w:abstractNum>
  <w:abstractNum w:abstractNumId="1722969">
    <w:lvl>
      <w:numFmt w:val="bullet"/>
      <w:suff w:val="tab"/>
      <w:lvlText w:val="￮"/>
      <w:rPr>
        <w:color w:val="3370ff"/>
      </w:rPr>
    </w:lvl>
  </w:abstractNum>
  <w:abstractNum w:abstractNumId="1722970">
    <w:lvl>
      <w:numFmt w:val="bullet"/>
      <w:suff w:val="tab"/>
      <w:lvlText w:val="▪"/>
      <w:rPr>
        <w:color w:val="3370ff"/>
        <w:sz w:val="11"/>
      </w:rPr>
    </w:lvl>
  </w:abstractNum>
  <w:abstractNum w:abstractNumId="1722971">
    <w:lvl>
      <w:numFmt w:val="bullet"/>
      <w:suff w:val="tab"/>
      <w:lvlText w:val="▪"/>
      <w:rPr>
        <w:color w:val="3370ff"/>
        <w:sz w:val="11"/>
      </w:rPr>
    </w:lvl>
  </w:abstractNum>
  <w:abstractNum w:abstractNumId="1722972">
    <w:lvl>
      <w:numFmt w:val="bullet"/>
      <w:suff w:val="tab"/>
      <w:lvlText w:val="•"/>
      <w:rPr>
        <w:color w:val="3370ff"/>
      </w:rPr>
    </w:lvl>
  </w:abstractNum>
  <w:abstractNum w:abstractNumId="1722973">
    <w:lvl>
      <w:numFmt w:val="bullet"/>
      <w:suff w:val="tab"/>
      <w:lvlText w:val="￮"/>
      <w:rPr>
        <w:color w:val="3370ff"/>
      </w:rPr>
    </w:lvl>
  </w:abstractNum>
  <w:abstractNum w:abstractNumId="1722974">
    <w:lvl>
      <w:numFmt w:val="bullet"/>
      <w:suff w:val="tab"/>
      <w:lvlText w:val="￮"/>
      <w:rPr>
        <w:color w:val="3370ff"/>
      </w:rPr>
    </w:lvl>
  </w:abstractNum>
  <w:abstractNum w:abstractNumId="1722975">
    <w:lvl>
      <w:numFmt w:val="bullet"/>
      <w:suff w:val="tab"/>
      <w:lvlText w:val="▪"/>
      <w:rPr>
        <w:color w:val="3370ff"/>
        <w:sz w:val="11"/>
      </w:rPr>
    </w:lvl>
  </w:abstractNum>
  <w:abstractNum w:abstractNumId="1722976">
    <w:lvl>
      <w:numFmt w:val="bullet"/>
      <w:suff w:val="tab"/>
      <w:lvlText w:val="•"/>
      <w:rPr>
        <w:color w:val="3370ff"/>
      </w:rPr>
    </w:lvl>
  </w:abstractNum>
  <w:abstractNum w:abstractNumId="1722977">
    <w:lvl>
      <w:numFmt w:val="bullet"/>
      <w:suff w:val="tab"/>
      <w:lvlText w:val="•"/>
      <w:rPr>
        <w:color w:val="3370ff"/>
      </w:rPr>
    </w:lvl>
  </w:abstractNum>
  <w:abstractNum w:abstractNumId="1722978">
    <w:lvl>
      <w:numFmt w:val="bullet"/>
      <w:suff w:val="tab"/>
      <w:lvlText w:val="•"/>
      <w:rPr>
        <w:color w:val="3370ff"/>
      </w:rPr>
    </w:lvl>
  </w:abstractNum>
  <w:abstractNum w:abstractNumId="1722979">
    <w:lvl>
      <w:numFmt w:val="bullet"/>
      <w:suff w:val="tab"/>
      <w:lvlText w:val="•"/>
      <w:rPr>
        <w:color w:val="3370ff"/>
      </w:rPr>
    </w:lvl>
  </w:abstractNum>
  <w:abstractNum w:abstractNumId="1722980">
    <w:lvl>
      <w:numFmt w:val="bullet"/>
      <w:suff w:val="tab"/>
      <w:lvlText w:val="•"/>
      <w:rPr>
        <w:color w:val="3370ff"/>
      </w:rPr>
    </w:lvl>
  </w:abstractNum>
  <w:abstractNum w:abstractNumId="1722981">
    <w:lvl>
      <w:numFmt w:val="bullet"/>
      <w:suff w:val="tab"/>
      <w:lvlText w:val="•"/>
      <w:rPr>
        <w:color w:val="3370ff"/>
      </w:rPr>
    </w:lvl>
  </w:abstractNum>
  <w:abstractNum w:abstractNumId="1722982">
    <w:lvl>
      <w:numFmt w:val="bullet"/>
      <w:suff w:val="tab"/>
      <w:lvlText w:val="•"/>
      <w:rPr>
        <w:color w:val="3370ff"/>
      </w:rPr>
    </w:lvl>
  </w:abstractNum>
  <w:abstractNum w:abstractNumId="1722983">
    <w:lvl>
      <w:numFmt w:val="bullet"/>
      <w:suff w:val="tab"/>
      <w:lvlText w:val="•"/>
      <w:rPr>
        <w:color w:val="3370ff"/>
      </w:rPr>
    </w:lvl>
  </w:abstractNum>
  <w:abstractNum w:abstractNumId="1722984">
    <w:lvl>
      <w:numFmt w:val="bullet"/>
      <w:suff w:val="tab"/>
      <w:lvlText w:val="•"/>
      <w:rPr>
        <w:color w:val="3370ff"/>
      </w:rPr>
    </w:lvl>
  </w:abstractNum>
  <w:abstractNum w:abstractNumId="1722985">
    <w:lvl>
      <w:numFmt w:val="bullet"/>
      <w:suff w:val="tab"/>
      <w:lvlText w:val="•"/>
      <w:rPr>
        <w:color w:val="3370ff"/>
      </w:rPr>
    </w:lvl>
  </w:abstractNum>
  <w:abstractNum w:abstractNumId="1722986">
    <w:lvl>
      <w:numFmt w:val="bullet"/>
      <w:suff w:val="tab"/>
      <w:lvlText w:val="•"/>
      <w:rPr>
        <w:color w:val="3370ff"/>
      </w:rPr>
    </w:lvl>
  </w:abstractNum>
  <w:abstractNum w:abstractNumId="1722987">
    <w:lvl>
      <w:numFmt w:val="bullet"/>
      <w:suff w:val="tab"/>
      <w:lvlText w:val="•"/>
      <w:rPr>
        <w:color w:val="3370ff"/>
      </w:rPr>
    </w:lvl>
  </w:abstractNum>
  <w:abstractNum w:abstractNumId="1722988">
    <w:lvl>
      <w:numFmt w:val="bullet"/>
      <w:suff w:val="tab"/>
      <w:lvlText w:val="•"/>
      <w:rPr>
        <w:color w:val="3370ff"/>
      </w:rPr>
    </w:lvl>
  </w:abstractNum>
  <w:abstractNum w:abstractNumId="1722989">
    <w:lvl>
      <w:numFmt w:val="bullet"/>
      <w:suff w:val="tab"/>
      <w:lvlText w:val="•"/>
      <w:rPr>
        <w:color w:val="3370ff"/>
      </w:rPr>
    </w:lvl>
  </w:abstractNum>
  <w:abstractNum w:abstractNumId="1722990">
    <w:lvl>
      <w:numFmt w:val="bullet"/>
      <w:suff w:val="tab"/>
      <w:lvlText w:val="•"/>
      <w:rPr>
        <w:color w:val="3370ff"/>
      </w:rPr>
    </w:lvl>
  </w:abstractNum>
  <w:abstractNum w:abstractNumId="1722991">
    <w:lvl>
      <w:numFmt w:val="bullet"/>
      <w:suff w:val="tab"/>
      <w:lvlText w:val="•"/>
      <w:rPr>
        <w:color w:val="3370ff"/>
      </w:rPr>
    </w:lvl>
  </w:abstractNum>
  <w:abstractNum w:abstractNumId="1722992">
    <w:lvl>
      <w:numFmt w:val="bullet"/>
      <w:suff w:val="tab"/>
      <w:lvlText w:val="•"/>
      <w:rPr>
        <w:color w:val="3370ff"/>
      </w:rPr>
    </w:lvl>
  </w:abstractNum>
  <w:abstractNum w:abstractNumId="1722993">
    <w:lvl>
      <w:numFmt w:val="bullet"/>
      <w:suff w:val="tab"/>
      <w:lvlText w:val="￮"/>
      <w:rPr>
        <w:color w:val="3370ff"/>
      </w:rPr>
    </w:lvl>
  </w:abstractNum>
  <w:abstractNum w:abstractNumId="1722994">
    <w:lvl>
      <w:numFmt w:val="bullet"/>
      <w:suff w:val="tab"/>
      <w:lvlText w:val="•"/>
      <w:rPr>
        <w:color w:val="3370ff"/>
      </w:rPr>
    </w:lvl>
  </w:abstractNum>
  <w:abstractNum w:abstractNumId="1722995">
    <w:lvl>
      <w:numFmt w:val="bullet"/>
      <w:suff w:val="tab"/>
      <w:lvlText w:val="•"/>
      <w:rPr>
        <w:color w:val="3370ff"/>
      </w:rPr>
    </w:lvl>
  </w:abstractNum>
  <w:abstractNum w:abstractNumId="1722996">
    <w:lvl>
      <w:numFmt w:val="bullet"/>
      <w:suff w:val="tab"/>
      <w:lvlText w:val="•"/>
      <w:rPr>
        <w:color w:val="3370ff"/>
      </w:rPr>
    </w:lvl>
  </w:abstractNum>
  <w:abstractNum w:abstractNumId="1722997">
    <w:lvl>
      <w:numFmt w:val="bullet"/>
      <w:suff w:val="tab"/>
      <w:lvlText w:val="•"/>
      <w:rPr>
        <w:color w:val="3370ff"/>
      </w:rPr>
    </w:lvl>
  </w:abstractNum>
  <w:abstractNum w:abstractNumId="1722998">
    <w:lvl>
      <w:numFmt w:val="bullet"/>
      <w:suff w:val="tab"/>
      <w:lvlText w:val="•"/>
      <w:rPr>
        <w:color w:val="3370ff"/>
      </w:rPr>
    </w:lvl>
  </w:abstractNum>
  <w:abstractNum w:abstractNumId="1722999">
    <w:lvl>
      <w:numFmt w:val="bullet"/>
      <w:suff w:val="tab"/>
      <w:lvlText w:val="•"/>
      <w:rPr>
        <w:color w:val="3370ff"/>
      </w:rPr>
    </w:lvl>
  </w:abstractNum>
  <w:abstractNum w:abstractNumId="1723000">
    <w:lvl>
      <w:numFmt w:val="bullet"/>
      <w:suff w:val="tab"/>
      <w:lvlText w:val="•"/>
      <w:rPr>
        <w:color w:val="3370ff"/>
      </w:rPr>
    </w:lvl>
  </w:abstractNum>
  <w:num w:numId="1">
    <w:abstractNumId w:val="1722960"/>
  </w:num>
  <w:num w:numId="2">
    <w:abstractNumId w:val="1722961"/>
  </w:num>
  <w:num w:numId="3">
    <w:abstractNumId w:val="1722962"/>
  </w:num>
  <w:num w:numId="4">
    <w:abstractNumId w:val="1722963"/>
  </w:num>
  <w:num w:numId="5">
    <w:abstractNumId w:val="1722964"/>
  </w:num>
  <w:num w:numId="6">
    <w:abstractNumId w:val="1722965"/>
  </w:num>
  <w:num w:numId="7">
    <w:abstractNumId w:val="1722966"/>
  </w:num>
  <w:num w:numId="8">
    <w:abstractNumId w:val="1722967"/>
  </w:num>
  <w:num w:numId="9">
    <w:abstractNumId w:val="1722968"/>
  </w:num>
  <w:num w:numId="10">
    <w:abstractNumId w:val="1722969"/>
  </w:num>
  <w:num w:numId="11">
    <w:abstractNumId w:val="1722970"/>
  </w:num>
  <w:num w:numId="12">
    <w:abstractNumId w:val="1722971"/>
  </w:num>
  <w:num w:numId="13">
    <w:abstractNumId w:val="1722972"/>
  </w:num>
  <w:num w:numId="14">
    <w:abstractNumId w:val="1722973"/>
  </w:num>
  <w:num w:numId="15">
    <w:abstractNumId w:val="1722974"/>
  </w:num>
  <w:num w:numId="16">
    <w:abstractNumId w:val="1722975"/>
  </w:num>
  <w:num w:numId="17">
    <w:abstractNumId w:val="1722976"/>
  </w:num>
  <w:num w:numId="18">
    <w:abstractNumId w:val="1722977"/>
  </w:num>
  <w:num w:numId="19">
    <w:abstractNumId w:val="1722978"/>
  </w:num>
  <w:num w:numId="20">
    <w:abstractNumId w:val="1722979"/>
  </w:num>
  <w:num w:numId="21">
    <w:abstractNumId w:val="1722980"/>
  </w:num>
  <w:num w:numId="22">
    <w:abstractNumId w:val="1722981"/>
  </w:num>
  <w:num w:numId="23">
    <w:abstractNumId w:val="1722982"/>
  </w:num>
  <w:num w:numId="24">
    <w:abstractNumId w:val="1722983"/>
  </w:num>
  <w:num w:numId="25">
    <w:abstractNumId w:val="1722984"/>
  </w:num>
  <w:num w:numId="26">
    <w:abstractNumId w:val="1722985"/>
  </w:num>
  <w:num w:numId="27">
    <w:abstractNumId w:val="1722986"/>
  </w:num>
  <w:num w:numId="28">
    <w:abstractNumId w:val="1722987"/>
  </w:num>
  <w:num w:numId="29">
    <w:abstractNumId w:val="1722988"/>
  </w:num>
  <w:num w:numId="30">
    <w:abstractNumId w:val="1722989"/>
  </w:num>
  <w:num w:numId="31">
    <w:abstractNumId w:val="1722990"/>
  </w:num>
  <w:num w:numId="32">
    <w:abstractNumId w:val="1722991"/>
  </w:num>
  <w:num w:numId="33">
    <w:abstractNumId w:val="1722992"/>
  </w:num>
  <w:num w:numId="34">
    <w:abstractNumId w:val="1722993"/>
  </w:num>
  <w:num w:numId="35">
    <w:abstractNumId w:val="1722994"/>
  </w:num>
  <w:num w:numId="36">
    <w:abstractNumId w:val="1722995"/>
  </w:num>
  <w:num w:numId="37">
    <w:abstractNumId w:val="1722996"/>
  </w:num>
  <w:num w:numId="38">
    <w:abstractNumId w:val="1722997"/>
  </w:num>
  <w:num w:numId="39">
    <w:abstractNumId w:val="1722998"/>
  </w:num>
  <w:num w:numId="40">
    <w:abstractNumId w:val="1722999"/>
  </w:num>
  <w:num w:numId="41">
    <w:abstractNumId w:val="172300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5.png" Type="http://schemas.openxmlformats.org/officeDocument/2006/relationships/image"/><Relationship Id="rId11" Target="media/image6.png" Type="http://schemas.openxmlformats.org/officeDocument/2006/relationships/image"/><Relationship Id="rId12" Target="embeddings/Microsoft_Excel_Worksheet2.xlsx" Type="http://schemas.openxmlformats.org/officeDocument/2006/relationships/package"/><Relationship Id="rId13" Target="media/image7.png" Type="http://schemas.openxmlformats.org/officeDocument/2006/relationships/image"/><Relationship Id="rId14" Target="embeddings/Microsoft_Excel_Worksheet3.xlsx" Type="http://schemas.openxmlformats.org/officeDocument/2006/relationships/package"/><Relationship Id="rId15" Target="media/image8.png" Type="http://schemas.openxmlformats.org/officeDocument/2006/relationships/image"/><Relationship Id="rId16"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media/image2.jpe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word/_rels/header1.xml.rels><?xml version="1.0" encoding="UTF-8" standalone="yes"?><Relationships xmlns="http://schemas.openxmlformats.org/package/2006/relationships"><Relationship Id="rId1" Target="media/image9.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2025-12-30T11:37:50Z</dcterms:created>
  <dc:creator>Apache POI</dc:creator>
</cp:coreProperties>
</file>