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心云联动——好络维全生命周期心血管健康管理可落地方案（2025升级版）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好络维全生命周期心血管健康管理可落地方案（2025升级版）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一、方案核心框架升级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基于“监测-预警-诊断-干预-康复-预防”全周期闭环，整合AI-ECG分析引擎、TE系列智能设备及“数据采集端-云平台-应用端”技术架构，覆盖以下五大关键阶段，强化数据联动与服务深度：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1485"/>
        <w:gridCol w:w="1485"/>
        <w:gridCol w:w="382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阶段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目标人群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核心服务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支撑设备与技术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早期筛查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全人群（重点40岁+）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便捷式筛查+健康档案建立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TE-8010Y-A检测仪（社区/养老机构）、TE-5200Y-A心电表带（运动/亚健康）、HLWH003智能手表（家庭）；AI-ECG引擎初筛异常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风险预警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高风险人群（四高/慢病）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实时监测+急救联动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TE-8000Y-F监测仪（24小时多参数）、二代心电贴（72小时续航）；AI预警触发用户/家庭医生/120三方通知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临床诊断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确诊患者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院内高精数据辅助诊疗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TE-5000Y-A心电图机（16K采样率）、TE-9000Y便携式采集仪（12导同步）；对接HIS系统，整合院外数据辅助诊断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术后康复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康复期患者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居家监测+动态康复评估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TE-8000Y无线网络系统（24小时追溯）、TE-5100Y-C贴式记录仪（待机1年）；家庭医生远程随访，异常数据三方提醒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健康促进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全人群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行为干预+保险激励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HLWH003手表（综合健康报告）、TE-7003Y-C血压计（控压建议）；心知了APP提供个性化运动/饮食建议，联合保险推出“健康行为激励计划”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二、破冰推广策略（2025-2026重点行动计划）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结合政策导向与市场需求，分三阶段推进，快速建立用户信任与市场覆盖：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政府/公益场景切入（2025Q4）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基层医疗合作</w:t>
      </w:r>
      <w:r>
        <w:rPr>
          <w:rFonts w:eastAsia="等线" w:ascii="Arial" w:cs="Arial" w:hAnsi="Arial"/>
          <w:sz w:val="22"/>
        </w:rPr>
        <w:t xml:space="preserve"> ：在杭州“15分钟医康养服务圈”健康驿站部署TE-8010Y系列设备（身份证/社保卡一键建档），联合卫健委开展“40岁+人群免费筛查计划”，目标覆盖80%目标人群。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智慧养老试点</w:t>
      </w:r>
      <w:r>
        <w:rPr>
          <w:rFonts w:eastAsia="等线" w:ascii="Arial" w:cs="Arial" w:hAnsi="Arial"/>
          <w:sz w:val="22"/>
        </w:rPr>
        <w:t xml:space="preserve"> ：与中国老龄事业发展基金会合作，在杭州5个社区养老机构推广“生命卫士·适老化服务包”（含72小时心电贴+血压计+7×24小时视频问诊），通过公益项目提升品牌公信力。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B端企业渗透（2026Q1-Q2）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员工健康管理</w:t>
      </w:r>
      <w:r>
        <w:rPr>
          <w:rFonts w:eastAsia="等线" w:ascii="Arial" w:cs="Arial" w:hAnsi="Arial"/>
          <w:sz w:val="22"/>
        </w:rPr>
        <w:t xml:space="preserve"> ：向新希望集团及关联企业（如乳业、地产）推广“企业健康SaaS平台”，提供群体心血管风险报告、健康讲座及在线咨询服务，绑定HLWH003智能手表作为员工福利（步数达标抵扣保费）。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医院远程诊断网</w:t>
      </w:r>
      <w:r>
        <w:rPr>
          <w:rFonts w:eastAsia="等线" w:ascii="Arial" w:cs="Arial" w:hAnsi="Arial"/>
          <w:sz w:val="22"/>
        </w:rPr>
        <w:t xml:space="preserve"> ：与基层医院合作建设“远程心电诊断中心”，通过TE-5000Y-A心电图机对接好络维心电云平台，由三甲专家复核基层上传的ECG数据，解决基层心电医生短缺问题。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C端用户引爆（2026Q3-Q4）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KOL联合推广</w:t>
      </w:r>
      <w:r>
        <w:rPr>
          <w:rFonts w:eastAsia="等线" w:ascii="Arial" w:cs="Arial" w:hAnsi="Arial"/>
          <w:sz w:val="22"/>
        </w:rPr>
        <w:t xml:space="preserve"> ：与运动/健康类KOL（如健身教练、健康博主）合作，通过“30天心脏健康挑战”活动推广TE-5200Y-A心电表带（IPX8防水，适配运动场景），结合心知了APP生成“运动心率曲线报告”吸引年轻用户。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保险联动运营</w:t>
      </w:r>
      <w:r>
        <w:rPr>
          <w:rFonts w:eastAsia="等线" w:ascii="Arial" w:cs="Arial" w:hAnsi="Arial"/>
          <w:sz w:val="22"/>
        </w:rPr>
        <w:t xml:space="preserve"> ：与保险公司推出“心血管健康险”，用户通过心知了APP完成监测、运动达标可获保费折扣（如年度无异常事件保费降低20%），激发主动管理动力。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三、核心业务场景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基于用户需求与设备能力，重点覆盖以下四大场景：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社区健康驿站筛查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场景描述</w:t>
      </w:r>
      <w:r>
        <w:rPr>
          <w:rFonts w:eastAsia="等线" w:ascii="Arial" w:cs="Arial" w:hAnsi="Arial"/>
          <w:sz w:val="22"/>
        </w:rPr>
        <w:t xml:space="preserve"> ：用户在社区健康驿站通过TE-8010Y-A检测仪完成心电、血压采集，数据实时上传平台生成基础报告，AI标记高风险（如房颤、心肌缺血）并推送家庭医生跟进。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闭环设计</w:t>
      </w:r>
      <w:r>
        <w:rPr>
          <w:rFonts w:eastAsia="等线" w:ascii="Arial" w:cs="Arial" w:hAnsi="Arial"/>
          <w:sz w:val="22"/>
        </w:rPr>
        <w:t xml:space="preserve"> ：筛查异常→家庭医生复核→转诊至合作医院→院后康复监测→健康促进干预。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家庭远程监护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场景描述</w:t>
      </w:r>
      <w:r>
        <w:rPr>
          <w:rFonts w:eastAsia="等线" w:ascii="Arial" w:cs="Arial" w:hAnsi="Arial"/>
          <w:sz w:val="22"/>
        </w:rPr>
        <w:t xml:space="preserve"> ：术后患者/慢病用户居家使用TE-8000Y无线网络系统，实时监测数据同步至家庭医生端，异常值触发“患者-家属-医生”三方提醒（如心率骤降→家属APP弹窗+医生电话确认）。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企业员工健康管理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场景描述</w:t>
      </w:r>
      <w:r>
        <w:rPr>
          <w:rFonts w:eastAsia="等线" w:ascii="Arial" w:cs="Arial" w:hAnsi="Arial"/>
          <w:sz w:val="22"/>
        </w:rPr>
        <w:t xml:space="preserve"> ：企业采购“健康管理SaaS服务”，员工通过HLWH003手表监测数据，企业后台生成群体风险报告（如高血压占比、异常心率趋势），定向推送健康讲座（如“职场人护心指南”）。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保险健康行为激励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场景描述</w:t>
      </w:r>
      <w:r>
        <w:rPr>
          <w:rFonts w:eastAsia="等线" w:ascii="Arial" w:cs="Arial" w:hAnsi="Arial"/>
          <w:sz w:val="22"/>
        </w:rPr>
        <w:t xml:space="preserve"> ：用户购买“健康行为激励险”后，通过心知了APP完成每日步数/血压达标任务，数据经平台验证后，保费按季度抵扣（如达标率≥80%抵扣10%）。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四、系统架构设计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采用“端-云-用”三层架构，确保数据流畅通与服务高效：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数据采集端（硬件层）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医疗级设备</w:t>
      </w:r>
      <w:r>
        <w:rPr>
          <w:rFonts w:eastAsia="等线" w:ascii="Arial" w:cs="Arial" w:hAnsi="Arial"/>
          <w:sz w:val="22"/>
        </w:rPr>
        <w:t xml:space="preserve"> ：TE系列检测仪（社区/医院）、贴式记录仪（居家/运动）、智能手表（日常监测），均获二类医疗器械认证，保障数据临床可用性。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用户入口</w:t>
      </w:r>
      <w:r>
        <w:rPr>
          <w:rFonts w:eastAsia="等线" w:ascii="Arial" w:cs="Arial" w:hAnsi="Arial"/>
          <w:sz w:val="22"/>
        </w:rPr>
        <w:t xml:space="preserve"> ：心知了APP（C端）、医生工作站（B端）、企业/保险平台（B端），支持身份证/社保卡/手机号多方式登录。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云平台（核心层）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数据中台</w:t>
      </w:r>
      <w:r>
        <w:rPr>
          <w:rFonts w:eastAsia="等线" w:ascii="Arial" w:cs="Arial" w:hAnsi="Arial"/>
          <w:sz w:val="22"/>
        </w:rPr>
        <w:t xml:space="preserve"> ：整合多源数据（心电、血压、血糖等），标准化存储并清洗（如去除运动干扰数据），支持用户全周期健康档案查询。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AI中台</w:t>
      </w:r>
      <w:r>
        <w:rPr>
          <w:rFonts w:eastAsia="等线" w:ascii="Arial" w:cs="Arial" w:hAnsi="Arial"/>
          <w:sz w:val="22"/>
        </w:rPr>
        <w:t xml:space="preserve"> ：部署“心电大脑”AI-ECG引擎（全国最大精标心电数据库，异常识别准确率≥95%），提供风险预测（如心衰、高钾血症）、多模态分析（ECG+血压+活动量）等API服务。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业务中台</w:t>
      </w:r>
      <w:r>
        <w:rPr>
          <w:rFonts w:eastAsia="等线" w:ascii="Arial" w:cs="Arial" w:hAnsi="Arial"/>
          <w:sz w:val="22"/>
        </w:rPr>
        <w:t xml:space="preserve"> ：支撑用户管理（家庭共享）、报告生成（个性化健康建议）、消息推送（预警/提醒）等逻辑，对接国家远程医疗中心实现专家会诊。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应用端（服务层）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用户侧</w:t>
      </w:r>
      <w:r>
        <w:rPr>
          <w:rFonts w:eastAsia="等线" w:ascii="Arial" w:cs="Arial" w:hAnsi="Arial"/>
          <w:sz w:val="22"/>
        </w:rPr>
        <w:t xml:space="preserve"> ：心知了APP提供监测、报告、健康建议、保险激励等功能，支持家庭健康空间（成员数据共享）。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医生侧</w:t>
      </w:r>
      <w:r>
        <w:rPr>
          <w:rFonts w:eastAsia="等线" w:ascii="Arial" w:cs="Arial" w:hAnsi="Arial"/>
          <w:sz w:val="22"/>
        </w:rPr>
        <w:t xml:space="preserve"> ：医生工作站集成HIS系统，可查看患者全周期数据（院外筛查+预警+术后康复），生成诊断/康复方案。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企业/保险侧</w:t>
      </w:r>
      <w:r>
        <w:rPr>
          <w:rFonts w:eastAsia="等线" w:ascii="Arial" w:cs="Arial" w:hAnsi="Arial"/>
          <w:sz w:val="22"/>
        </w:rPr>
        <w:t xml:space="preserve"> ：开放API接口，支持企业获取群体健康报告、保险公司获取用户健康行为数据（脱敏后）。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安全与合规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数据加密传输（TLS 1.3）、脱敏存储（去标识化处理），符合《个人信息保护法》《数据安全法》及HIPAA标准。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用户授权管理（数据使用需用户勾选同意），确保隐私可控。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通过以上方案落地与推广策略，好络维可快速覆盖基层、企业、家庭等多场景，依托技术壁垒与生态合作，实现心血管健康管理的普惠化与智能化升级。</w:t>
        <w:br/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2212">
    <w:lvl>
      <w:numFmt w:val="bullet"/>
      <w:suff w:val="tab"/>
      <w:lvlText w:val="•"/>
      <w:rPr>
        <w:color w:val="3370ff"/>
      </w:rPr>
    </w:lvl>
  </w:abstractNum>
  <w:abstractNum w:abstractNumId="32213">
    <w:lvl>
      <w:numFmt w:val="bullet"/>
      <w:suff w:val="tab"/>
      <w:lvlText w:val="•"/>
      <w:rPr>
        <w:color w:val="3370ff"/>
      </w:rPr>
    </w:lvl>
  </w:abstractNum>
  <w:abstractNum w:abstractNumId="32214">
    <w:lvl>
      <w:numFmt w:val="bullet"/>
      <w:suff w:val="tab"/>
      <w:lvlText w:val="•"/>
      <w:rPr>
        <w:color w:val="3370ff"/>
      </w:rPr>
    </w:lvl>
  </w:abstractNum>
  <w:abstractNum w:abstractNumId="32215">
    <w:lvl>
      <w:numFmt w:val="bullet"/>
      <w:suff w:val="tab"/>
      <w:lvlText w:val="•"/>
      <w:rPr>
        <w:color w:val="3370ff"/>
      </w:rPr>
    </w:lvl>
  </w:abstractNum>
  <w:abstractNum w:abstractNumId="32216">
    <w:lvl>
      <w:numFmt w:val="bullet"/>
      <w:suff w:val="tab"/>
      <w:lvlText w:val="•"/>
      <w:rPr>
        <w:color w:val="3370ff"/>
      </w:rPr>
    </w:lvl>
  </w:abstractNum>
  <w:abstractNum w:abstractNumId="32217">
    <w:lvl>
      <w:numFmt w:val="bullet"/>
      <w:suff w:val="tab"/>
      <w:lvlText w:val="•"/>
      <w:rPr>
        <w:color w:val="3370ff"/>
      </w:rPr>
    </w:lvl>
  </w:abstractNum>
  <w:abstractNum w:abstractNumId="32218">
    <w:lvl>
      <w:numFmt w:val="bullet"/>
      <w:suff w:val="tab"/>
      <w:lvlText w:val="•"/>
      <w:rPr>
        <w:color w:val="3370ff"/>
      </w:rPr>
    </w:lvl>
  </w:abstractNum>
  <w:abstractNum w:abstractNumId="32219">
    <w:lvl>
      <w:numFmt w:val="bullet"/>
      <w:suff w:val="tab"/>
      <w:lvlText w:val="•"/>
      <w:rPr>
        <w:color w:val="3370ff"/>
      </w:rPr>
    </w:lvl>
  </w:abstractNum>
  <w:abstractNum w:abstractNumId="32220">
    <w:lvl>
      <w:numFmt w:val="bullet"/>
      <w:suff w:val="tab"/>
      <w:lvlText w:val="•"/>
      <w:rPr>
        <w:color w:val="3370ff"/>
      </w:rPr>
    </w:lvl>
  </w:abstractNum>
  <w:abstractNum w:abstractNumId="32221">
    <w:lvl>
      <w:numFmt w:val="bullet"/>
      <w:suff w:val="tab"/>
      <w:lvlText w:val="•"/>
      <w:rPr>
        <w:color w:val="3370ff"/>
      </w:rPr>
    </w:lvl>
  </w:abstractNum>
  <w:abstractNum w:abstractNumId="32222">
    <w:lvl>
      <w:numFmt w:val="bullet"/>
      <w:suff w:val="tab"/>
      <w:lvlText w:val="•"/>
      <w:rPr>
        <w:color w:val="3370ff"/>
      </w:rPr>
    </w:lvl>
  </w:abstractNum>
  <w:abstractNum w:abstractNumId="32223">
    <w:lvl>
      <w:numFmt w:val="bullet"/>
      <w:suff w:val="tab"/>
      <w:lvlText w:val="•"/>
      <w:rPr>
        <w:color w:val="3370ff"/>
      </w:rPr>
    </w:lvl>
  </w:abstractNum>
  <w:abstractNum w:abstractNumId="32224">
    <w:lvl>
      <w:numFmt w:val="bullet"/>
      <w:suff w:val="tab"/>
      <w:lvlText w:val="•"/>
      <w:rPr>
        <w:color w:val="3370ff"/>
      </w:rPr>
    </w:lvl>
  </w:abstractNum>
  <w:abstractNum w:abstractNumId="32225">
    <w:lvl>
      <w:numFmt w:val="bullet"/>
      <w:suff w:val="tab"/>
      <w:lvlText w:val="•"/>
      <w:rPr>
        <w:color w:val="3370ff"/>
      </w:rPr>
    </w:lvl>
  </w:abstractNum>
  <w:abstractNum w:abstractNumId="32226">
    <w:lvl>
      <w:numFmt w:val="bullet"/>
      <w:suff w:val="tab"/>
      <w:lvlText w:val="•"/>
      <w:rPr>
        <w:color w:val="3370ff"/>
      </w:rPr>
    </w:lvl>
  </w:abstractNum>
  <w:abstractNum w:abstractNumId="32227">
    <w:lvl>
      <w:numFmt w:val="bullet"/>
      <w:suff w:val="tab"/>
      <w:lvlText w:val="•"/>
      <w:rPr>
        <w:color w:val="3370ff"/>
      </w:rPr>
    </w:lvl>
  </w:abstractNum>
  <w:abstractNum w:abstractNumId="32228">
    <w:lvl>
      <w:numFmt w:val="bullet"/>
      <w:suff w:val="tab"/>
      <w:lvlText w:val="•"/>
      <w:rPr>
        <w:color w:val="3370ff"/>
      </w:rPr>
    </w:lvl>
  </w:abstractNum>
  <w:abstractNum w:abstractNumId="32229">
    <w:lvl>
      <w:numFmt w:val="bullet"/>
      <w:suff w:val="tab"/>
      <w:lvlText w:val="•"/>
      <w:rPr>
        <w:color w:val="3370ff"/>
      </w:rPr>
    </w:lvl>
  </w:abstractNum>
  <w:abstractNum w:abstractNumId="32230">
    <w:lvl>
      <w:numFmt w:val="bullet"/>
      <w:suff w:val="tab"/>
      <w:lvlText w:val="•"/>
      <w:rPr>
        <w:color w:val="3370ff"/>
      </w:rPr>
    </w:lvl>
  </w:abstractNum>
  <w:abstractNum w:abstractNumId="32231">
    <w:lvl>
      <w:numFmt w:val="bullet"/>
      <w:suff w:val="tab"/>
      <w:lvlText w:val="•"/>
      <w:rPr>
        <w:color w:val="3370ff"/>
      </w:rPr>
    </w:lvl>
  </w:abstractNum>
  <w:abstractNum w:abstractNumId="32232">
    <w:lvl>
      <w:numFmt w:val="bullet"/>
      <w:suff w:val="tab"/>
      <w:lvlText w:val="•"/>
      <w:rPr>
        <w:color w:val="3370ff"/>
      </w:rPr>
    </w:lvl>
  </w:abstractNum>
  <w:num w:numId="1">
    <w:abstractNumId w:val="32212"/>
  </w:num>
  <w:num w:numId="2">
    <w:abstractNumId w:val="32213"/>
  </w:num>
  <w:num w:numId="3">
    <w:abstractNumId w:val="32214"/>
  </w:num>
  <w:num w:numId="4">
    <w:abstractNumId w:val="32215"/>
  </w:num>
  <w:num w:numId="5">
    <w:abstractNumId w:val="32216"/>
  </w:num>
  <w:num w:numId="6">
    <w:abstractNumId w:val="32217"/>
  </w:num>
  <w:num w:numId="7">
    <w:abstractNumId w:val="32218"/>
  </w:num>
  <w:num w:numId="8">
    <w:abstractNumId w:val="32219"/>
  </w:num>
  <w:num w:numId="9">
    <w:abstractNumId w:val="32220"/>
  </w:num>
  <w:num w:numId="10">
    <w:abstractNumId w:val="32221"/>
  </w:num>
  <w:num w:numId="11">
    <w:abstractNumId w:val="32222"/>
  </w:num>
  <w:num w:numId="12">
    <w:abstractNumId w:val="32223"/>
  </w:num>
  <w:num w:numId="13">
    <w:abstractNumId w:val="32224"/>
  </w:num>
  <w:num w:numId="14">
    <w:abstractNumId w:val="32225"/>
  </w:num>
  <w:num w:numId="15">
    <w:abstractNumId w:val="32226"/>
  </w:num>
  <w:num w:numId="16">
    <w:abstractNumId w:val="32227"/>
  </w:num>
  <w:num w:numId="17">
    <w:abstractNumId w:val="32228"/>
  </w:num>
  <w:num w:numId="18">
    <w:abstractNumId w:val="32229"/>
  </w:num>
  <w:num w:numId="19">
    <w:abstractNumId w:val="32230"/>
  </w:num>
  <w:num w:numId="20">
    <w:abstractNumId w:val="32231"/>
  </w:num>
  <w:num w:numId="21">
    <w:abstractNumId w:val="322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2025-12-30T11:25:22Z</dcterms:created>
  <dc:creator>Apache POI</dc:creator>
</cp:coreProperties>
</file>