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心云联动——好络维全生命周期心血管健康管理方案（2025版）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好络维全生命周期心血管健康管理方案（2025版）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一、方案背景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基于国家“主动健康”战略导向（20）及心脑血管疾病全周期管理需求，依托好络维“</w:t>
      </w:r>
      <w:r>
        <w:rPr>
          <w:rFonts w:eastAsia="等线" w:ascii="Arial" w:cs="Arial" w:hAnsi="Arial"/>
          <w:b w:val="true"/>
          <w:sz w:val="22"/>
        </w:rPr>
        <w:t>监测-预警-诊断-干预-康复-预防</w:t>
      </w:r>
      <w:r>
        <w:rPr>
          <w:rFonts w:eastAsia="等线" w:ascii="Arial" w:cs="Arial" w:hAnsi="Arial"/>
          <w:sz w:val="22"/>
        </w:rPr>
        <w:t>”一体化AI-ECG生态系统（15），结合旗下TE系列智能医疗设备，为用户提供覆盖“早期筛查-风险预警-临床诊断-术后康复-健康促进”的全生命周期心血管健康管理服务。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二、核心框架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AI-ECG分析引擎</w:t>
      </w:r>
      <w:r>
        <w:rPr>
          <w:rFonts w:eastAsia="等线" w:ascii="Arial" w:cs="Arial" w:hAnsi="Arial"/>
          <w:sz w:val="22"/>
        </w:rPr>
        <w:t xml:space="preserve"> 为技术核心，整合TE系列设备实时监测数据，通过“数据采集端-云平台-应用端”技术架构（15），构建五大服务模块：居家监测与早期筛查、院前预警与远程诊断、院内诊疗与决策支持、术后及慢病管理、健康促进与保险联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三、分阶段实施路径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（一）早期筛查与日常监测（全人群覆盖）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 ：通过便捷式设备实现心血管风险人群的初步筛查，建立个人电子健康档案。</w:t>
        <w:br/>
      </w: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TE-8010Y-A多参数检测仪</w:t>
      </w:r>
      <w:r>
        <w:rPr>
          <w:rFonts w:eastAsia="等线" w:ascii="Arial" w:cs="Arial" w:hAnsi="Arial"/>
          <w:sz w:val="22"/>
        </w:rPr>
        <w:t xml:space="preserve"> （5.46英寸屏幕，支持身份证/社保卡/手机号登录）：在社区健康驿站、养老机构等场景，快速采集心电、血压、心率、脉率，数据实时上传健康管理平台并生成基础分析报告。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TE-8010Y-D臂式电子血压计</w:t>
      </w:r>
      <w:r>
        <w:rPr>
          <w:rFonts w:eastAsia="等线" w:ascii="Arial" w:cs="Arial" w:hAnsi="Arial"/>
          <w:sz w:val="22"/>
        </w:rPr>
        <w:t xml:space="preserve"> （5.46英寸屏幕，语音引导操作）：家庭或社区自助测量血压、脉率，历史数据同步至个人电子健康档案。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TE-5200Y-A心电表带</w:t>
      </w:r>
      <w:r>
        <w:rPr>
          <w:rFonts w:eastAsia="等线" w:ascii="Arial" w:cs="Arial" w:hAnsi="Arial"/>
          <w:sz w:val="22"/>
        </w:rPr>
        <w:t xml:space="preserve"> （蓝牙5.0传输，IPX8防水）：搭配智能手表，日常监测心电、心率，适合运动人群及亚健康用户。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 xml:space="preserve"> ：在杭州社区“15分钟医康养服务圈”内的健康驿站（21）部署设备，用户通过身份证/社保卡一键建档，测量数据自动关联电子健康档案，平台同步推送健康风险提示。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（二）风险预警与院前干预（高风险人群）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 ：通过实时动态监测与AI分析，提前识别心血管事件风险，联动急救资源。</w:t>
        <w:br/>
      </w: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TE-8000Y-F无线多参数监测仪</w:t>
      </w:r>
      <w:r>
        <w:rPr>
          <w:rFonts w:eastAsia="等线" w:ascii="Arial" w:cs="Arial" w:hAnsi="Arial"/>
          <w:sz w:val="22"/>
        </w:rPr>
        <w:t xml:space="preserve"> （12导联+起搏钉检测，24小时续航）：院外患者或慢病用户携带，实时监测心电、血压、血氧等五参数，异常数据触发平台预警。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二代心电贴（TE-5100Y-D1）</w:t>
      </w:r>
      <w:r>
        <w:rPr>
          <w:rFonts w:eastAsia="等线" w:ascii="Arial" w:cs="Arial" w:hAnsi="Arial"/>
          <w:sz w:val="22"/>
        </w:rPr>
        <w:t xml:space="preserve"> （IPX7防水，72小时续航）：运动或睡眠场景下贴于胸前，监测单导心电+体温，数据通过4G模块或APP实时同步。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</w:t>
      </w:r>
      <w:r>
        <w:rPr>
          <w:rFonts w:eastAsia="等线" w:ascii="Arial" w:cs="Arial" w:hAnsi="Arial"/>
          <w:sz w:val="22"/>
        </w:rPr>
        <w:t xml:space="preserve"> ：AI-ECG引擎（15）基于历史数据及实时监测结果，识别房颤、心肌缺血等风险，平台自动向用户、家庭医生及120急救中心推送预警信息，实现“监测-预警-急救”闭环。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（三）临床诊断与院内支持（确诊患者）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 ：为医疗机构提供高精数据，辅助医生制定诊疗方案。</w:t>
        <w:br/>
      </w: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TE-5000Y-A型心电图机</w:t>
      </w:r>
      <w:r>
        <w:rPr>
          <w:rFonts w:eastAsia="等线" w:ascii="Arial" w:cs="Arial" w:hAnsi="Arial"/>
          <w:sz w:val="22"/>
        </w:rPr>
        <w:t xml:space="preserve"> （16K采样率，异步十八导）：门诊/病房场景下采集静态心电图，支持起搏信号检测，数据同步至HIS系统。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TE-9000Y便携式心电采集仪</w:t>
      </w:r>
      <w:r>
        <w:rPr>
          <w:rFonts w:eastAsia="等线" w:ascii="Arial" w:cs="Arial" w:hAnsi="Arial"/>
          <w:sz w:val="22"/>
        </w:rPr>
        <w:t xml:space="preserve"> （4K采样率，12导同步记录）：院外急救或巡诊时使用，锂电池供电，Micro SD卡存储数据，支持LAN网络上传。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 xml:space="preserve"> ：设备对接医院HIS系统，医生可通过平台查看患者全周期监测数据（包括院外筛查、预警阶段数据），结合AI分析报告（如起搏分析、心电晚电位）优化诊断效率。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（四）术后康复与慢病管理（康复期患者）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 ：通过长期居家监测，动态评估康复效果，调整干预方案。</w:t>
        <w:br/>
      </w: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TE-8000Y无线网络生理参数监测系统</w:t>
      </w:r>
      <w:r>
        <w:rPr>
          <w:rFonts w:eastAsia="等线" w:ascii="Arial" w:cs="Arial" w:hAnsi="Arial"/>
          <w:sz w:val="22"/>
        </w:rPr>
        <w:t xml:space="preserve"> （4G/WiFi传输，8G存储）：术后患者居家使用，支持24小时多参数动态监测，数据可追溯查询。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TE-5100Y-C动态心电记录仪</w:t>
      </w:r>
      <w:r>
        <w:rPr>
          <w:rFonts w:eastAsia="等线" w:ascii="Arial" w:cs="Arial" w:hAnsi="Arial"/>
          <w:sz w:val="22"/>
        </w:rPr>
        <w:t xml:space="preserve"> （贴式设计，IPX7防水，待机1年）：康复期患者日常佩戴，App支持睡眠心率监测、运动心率曲线分析。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 xml:space="preserve"> ：患者出院时配备设备，家庭医生通过平台实时查看数据，定期生成康复评估报告；异常数据触发“医生-患者-家属”三方提醒，必要时调整用药或康复计划。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（五）健康促进与预防（全人群）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 ：通过数据驱动的健康干预，提升用户主动健康意识。</w:t>
        <w:br/>
      </w: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HLWH003智能健康手表</w:t>
      </w:r>
      <w:r>
        <w:rPr>
          <w:rFonts w:eastAsia="等线" w:ascii="Arial" w:cs="Arial" w:hAnsi="Arial"/>
          <w:sz w:val="22"/>
        </w:rPr>
        <w:t xml:space="preserve"> （4G全网通，电子围栏功能）：整合心电表带（TE-5200Y-A）的ECG数据，监测心率、睡眠、运动步数，生成综合健康报告。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TE-7003Y-C臂式电子血压计</w:t>
      </w:r>
      <w:r>
        <w:rPr>
          <w:rFonts w:eastAsia="等线" w:ascii="Arial" w:cs="Arial" w:hAnsi="Arial"/>
          <w:sz w:val="22"/>
        </w:rPr>
        <w:t xml:space="preserve"> （蓝牙传输，对接995120平台）：高血压患者家庭使用，自动分析血压趋势并推送控压建议。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 xml:space="preserve"> ：心知了APP（2、3）整合用户全周期健康数据，提供个性化运动、饮食建议；联合保险公司推出“健康行为激励计划”（如步数达标抵扣保费），激发用户主动管理动力。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四、技术支撑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 xml:space="preserve"> ：遵循《个人信息保护法》，采用加密传输与脱敏存储，确保用户隐私。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AI算法</w:t>
      </w:r>
      <w:r>
        <w:rPr>
          <w:rFonts w:eastAsia="等线" w:ascii="Arial" w:cs="Arial" w:hAnsi="Arial"/>
          <w:sz w:val="22"/>
        </w:rPr>
        <w:t xml:space="preserve"> ：依托好络维“心电大脑”（21）——全国最大精标注心电数据库，AI模型对常见心律失常识别准确率≥95%。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平台联动</w:t>
      </w:r>
      <w:r>
        <w:rPr>
          <w:rFonts w:eastAsia="等线" w:ascii="Arial" w:cs="Arial" w:hAnsi="Arial"/>
          <w:sz w:val="22"/>
        </w:rPr>
        <w:t xml:space="preserve"> ：对接国家远程医疗与互联网医学中心（21），实现基层医疗机构与三甲医院专家的远程会诊。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五、预期效果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覆盖杭州社区80%以上40岁+人群，心血管疾病早期筛查率提升至60%。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高风险人群预警响应时间缩短至5分钟，心血管事件发生率降低20%。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术后患者康复随访效率提升30%，再住院率下降15%。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用户主动健康参与度提高40%，形成“监测-干预-预防”正向循环。</w:t>
        <w:br/>
        <w:br/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16071">
    <w:lvl>
      <w:numFmt w:val="bullet"/>
      <w:suff w:val="tab"/>
      <w:lvlText w:val="•"/>
      <w:rPr>
        <w:color w:val="3370ff"/>
      </w:rPr>
    </w:lvl>
  </w:abstractNum>
  <w:abstractNum w:abstractNumId="616072">
    <w:lvl>
      <w:numFmt w:val="bullet"/>
      <w:suff w:val="tab"/>
      <w:lvlText w:val="•"/>
      <w:rPr>
        <w:color w:val="3370ff"/>
      </w:rPr>
    </w:lvl>
  </w:abstractNum>
  <w:abstractNum w:abstractNumId="616073">
    <w:lvl>
      <w:numFmt w:val="bullet"/>
      <w:suff w:val="tab"/>
      <w:lvlText w:val="•"/>
      <w:rPr>
        <w:color w:val="3370ff"/>
      </w:rPr>
    </w:lvl>
  </w:abstractNum>
  <w:abstractNum w:abstractNumId="616074">
    <w:lvl>
      <w:numFmt w:val="bullet"/>
      <w:suff w:val="tab"/>
      <w:lvlText w:val="•"/>
      <w:rPr>
        <w:color w:val="3370ff"/>
      </w:rPr>
    </w:lvl>
  </w:abstractNum>
  <w:abstractNum w:abstractNumId="616075">
    <w:lvl>
      <w:numFmt w:val="bullet"/>
      <w:suff w:val="tab"/>
      <w:lvlText w:val="•"/>
      <w:rPr>
        <w:color w:val="3370ff"/>
      </w:rPr>
    </w:lvl>
  </w:abstractNum>
  <w:abstractNum w:abstractNumId="616076">
    <w:lvl>
      <w:numFmt w:val="bullet"/>
      <w:suff w:val="tab"/>
      <w:lvlText w:val="•"/>
      <w:rPr>
        <w:color w:val="3370ff"/>
      </w:rPr>
    </w:lvl>
  </w:abstractNum>
  <w:abstractNum w:abstractNumId="616077">
    <w:lvl>
      <w:numFmt w:val="bullet"/>
      <w:suff w:val="tab"/>
      <w:lvlText w:val="•"/>
      <w:rPr>
        <w:color w:val="3370ff"/>
      </w:rPr>
    </w:lvl>
  </w:abstractNum>
  <w:abstractNum w:abstractNumId="616078">
    <w:lvl>
      <w:numFmt w:val="bullet"/>
      <w:suff w:val="tab"/>
      <w:lvlText w:val="•"/>
      <w:rPr>
        <w:color w:val="3370ff"/>
      </w:rPr>
    </w:lvl>
  </w:abstractNum>
  <w:abstractNum w:abstractNumId="616079">
    <w:lvl>
      <w:numFmt w:val="bullet"/>
      <w:suff w:val="tab"/>
      <w:lvlText w:val="•"/>
      <w:rPr>
        <w:color w:val="3370ff"/>
      </w:rPr>
    </w:lvl>
  </w:abstractNum>
  <w:abstractNum w:abstractNumId="616080">
    <w:lvl>
      <w:numFmt w:val="bullet"/>
      <w:suff w:val="tab"/>
      <w:lvlText w:val="•"/>
      <w:rPr>
        <w:color w:val="3370ff"/>
      </w:rPr>
    </w:lvl>
  </w:abstractNum>
  <w:abstractNum w:abstractNumId="616081">
    <w:lvl>
      <w:numFmt w:val="bullet"/>
      <w:suff w:val="tab"/>
      <w:lvlText w:val="•"/>
      <w:rPr>
        <w:color w:val="3370ff"/>
      </w:rPr>
    </w:lvl>
  </w:abstractNum>
  <w:abstractNum w:abstractNumId="616082">
    <w:lvl>
      <w:numFmt w:val="bullet"/>
      <w:suff w:val="tab"/>
      <w:lvlText w:val="•"/>
      <w:rPr>
        <w:color w:val="3370ff"/>
      </w:rPr>
    </w:lvl>
  </w:abstractNum>
  <w:abstractNum w:abstractNumId="616083">
    <w:lvl>
      <w:numFmt w:val="bullet"/>
      <w:suff w:val="tab"/>
      <w:lvlText w:val="•"/>
      <w:rPr>
        <w:color w:val="3370ff"/>
      </w:rPr>
    </w:lvl>
  </w:abstractNum>
  <w:abstractNum w:abstractNumId="616084">
    <w:lvl>
      <w:numFmt w:val="bullet"/>
      <w:suff w:val="tab"/>
      <w:lvlText w:val="•"/>
      <w:rPr>
        <w:color w:val="3370ff"/>
      </w:rPr>
    </w:lvl>
  </w:abstractNum>
  <w:abstractNum w:abstractNumId="616085">
    <w:lvl>
      <w:numFmt w:val="bullet"/>
      <w:suff w:val="tab"/>
      <w:lvlText w:val="•"/>
      <w:rPr>
        <w:color w:val="3370ff"/>
      </w:rPr>
    </w:lvl>
  </w:abstractNum>
  <w:abstractNum w:abstractNumId="616086">
    <w:lvl>
      <w:numFmt w:val="bullet"/>
      <w:suff w:val="tab"/>
      <w:lvlText w:val="•"/>
      <w:rPr>
        <w:color w:val="3370ff"/>
      </w:rPr>
    </w:lvl>
  </w:abstractNum>
  <w:abstractNum w:abstractNumId="616087">
    <w:lvl>
      <w:numFmt w:val="bullet"/>
      <w:suff w:val="tab"/>
      <w:lvlText w:val="•"/>
      <w:rPr>
        <w:color w:val="3370ff"/>
      </w:rPr>
    </w:lvl>
  </w:abstractNum>
  <w:abstractNum w:abstractNumId="616088">
    <w:lvl>
      <w:numFmt w:val="bullet"/>
      <w:suff w:val="tab"/>
      <w:lvlText w:val="•"/>
      <w:rPr>
        <w:color w:val="3370ff"/>
      </w:rPr>
    </w:lvl>
  </w:abstractNum>
  <w:num w:numId="1">
    <w:abstractNumId w:val="616071"/>
  </w:num>
  <w:num w:numId="2">
    <w:abstractNumId w:val="616072"/>
  </w:num>
  <w:num w:numId="3">
    <w:abstractNumId w:val="616073"/>
  </w:num>
  <w:num w:numId="4">
    <w:abstractNumId w:val="616074"/>
  </w:num>
  <w:num w:numId="5">
    <w:abstractNumId w:val="616075"/>
  </w:num>
  <w:num w:numId="6">
    <w:abstractNumId w:val="616076"/>
  </w:num>
  <w:num w:numId="7">
    <w:abstractNumId w:val="616077"/>
  </w:num>
  <w:num w:numId="8">
    <w:abstractNumId w:val="616078"/>
  </w:num>
  <w:num w:numId="9">
    <w:abstractNumId w:val="616079"/>
  </w:num>
  <w:num w:numId="10">
    <w:abstractNumId w:val="616080"/>
  </w:num>
  <w:num w:numId="11">
    <w:abstractNumId w:val="616081"/>
  </w:num>
  <w:num w:numId="12">
    <w:abstractNumId w:val="616082"/>
  </w:num>
  <w:num w:numId="13">
    <w:abstractNumId w:val="616083"/>
  </w:num>
  <w:num w:numId="14">
    <w:abstractNumId w:val="616084"/>
  </w:num>
  <w:num w:numId="15">
    <w:abstractNumId w:val="616085"/>
  </w:num>
  <w:num w:numId="16">
    <w:abstractNumId w:val="616086"/>
  </w:num>
  <w:num w:numId="17">
    <w:abstractNumId w:val="616087"/>
  </w:num>
  <w:num w:numId="18">
    <w:abstractNumId w:val="6160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2025-12-30T11:25:16Z</dcterms:created>
  <dc:creator>Apache POI</dc:creator>
</cp:coreProperties>
</file>