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心云联动——心脏+ 数据差异探索 v1.0 — 产品需求文档（草稿）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范围：阶段一 0–90 天（MVP）—— 单用户时间差异 + 群体均值对比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概述（Why）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从数据洞察到陪伴式健康管理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“数据差异探索”是「心脏+」从数据记录工具向“</w:t>
      </w:r>
      <w:r>
        <w:rPr>
          <w:rFonts w:eastAsia="等线" w:ascii="Arial" w:cs="Arial" w:hAnsi="Arial"/>
          <w:b w:val="true"/>
          <w:sz w:val="22"/>
        </w:rPr>
        <w:t>主动式、陪伴式健康管理服务</w:t>
      </w:r>
      <w:r>
        <w:rPr>
          <w:rFonts w:eastAsia="等线" w:ascii="Arial" w:cs="Arial" w:hAnsi="Arial"/>
          <w:sz w:val="22"/>
        </w:rPr>
        <w:t>”战略升级的关键一步。它旨在将用户海量、孤立的心电与体征数据，转化为</w:t>
      </w:r>
      <w:r>
        <w:rPr>
          <w:rFonts w:eastAsia="等线" w:ascii="Arial" w:cs="Arial" w:hAnsi="Arial"/>
          <w:b w:val="true"/>
          <w:sz w:val="22"/>
        </w:rPr>
        <w:t>可理解、可行动、有温度</w:t>
      </w:r>
      <w:r>
        <w:rPr>
          <w:rFonts w:eastAsia="等线" w:ascii="Arial" w:cs="Arial" w:hAnsi="Arial"/>
          <w:sz w:val="22"/>
        </w:rPr>
        <w:t>的个性化洞察。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 (MVP) 聚焦于两大核心能力，旨在为用户建立一个持续的、积极的健康反馈循环：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单用户时间差异</w:t>
      </w:r>
      <w:r>
        <w:rPr>
          <w:rFonts w:eastAsia="等线" w:ascii="Arial" w:cs="Arial" w:hAnsi="Arial"/>
          <w:sz w:val="22"/>
        </w:rPr>
        <w:t>：让用户清晰感知</w:t>
      </w:r>
      <w:r>
        <w:rPr>
          <w:rFonts w:eastAsia="等线" w:ascii="Arial" w:cs="Arial" w:hAnsi="Arial"/>
          <w:b w:val="true"/>
          <w:sz w:val="22"/>
        </w:rPr>
        <w:t>自身身体的细微变化</w:t>
      </w:r>
      <w:r>
        <w:rPr>
          <w:rFonts w:eastAsia="等线" w:ascii="Arial" w:cs="Arial" w:hAnsi="Arial"/>
          <w:sz w:val="22"/>
        </w:rPr>
        <w:t>，理解健康趋势，知道何时该行动、何时可观察。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群体均值对比</w:t>
      </w:r>
      <w:r>
        <w:rPr>
          <w:rFonts w:eastAsia="等线" w:ascii="Arial" w:cs="Arial" w:hAnsi="Arial"/>
          <w:sz w:val="22"/>
        </w:rPr>
        <w:t>：帮助用户在广阔的同类人群中找到自己的坐标，</w:t>
      </w:r>
      <w:r>
        <w:rPr>
          <w:rFonts w:eastAsia="等线" w:ascii="Arial" w:cs="Arial" w:hAnsi="Arial"/>
          <w:b w:val="true"/>
          <w:sz w:val="22"/>
        </w:rPr>
        <w:t>缓解未知带来的焦虑</w:t>
      </w:r>
      <w:r>
        <w:rPr>
          <w:rFonts w:eastAsia="等线" w:ascii="Arial" w:cs="Arial" w:hAnsi="Arial"/>
          <w:sz w:val="22"/>
        </w:rPr>
        <w:t>，并从他人的基线中获得参考和动力。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最终，我们期望通过此功能显著提升用户粘性与生命周期价值，并为后续的风险预警模型及B2B医疗服务场景奠定坚实的数据和用户信任基础。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产品心法 (Product Philosophy)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本功能所有设计、开发和运营活动，必须遵循以下三大核心原则：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从「焦虑」到「掌控」</w:t>
      </w:r>
      <w:r>
        <w:rPr>
          <w:rFonts w:eastAsia="等线" w:ascii="Arial" w:cs="Arial" w:hAnsi="Arial"/>
          <w:sz w:val="22"/>
        </w:rPr>
        <w:t>：我们的首要任务是</w:t>
      </w:r>
      <w:r>
        <w:rPr>
          <w:rFonts w:eastAsia="等线" w:ascii="Arial" w:cs="Arial" w:hAnsi="Arial"/>
          <w:b w:val="true"/>
          <w:color w:val="d83931"/>
          <w:sz w:val="22"/>
        </w:rPr>
        <w:t>赋予用户掌控感，而非制造焦虑</w:t>
      </w:r>
      <w:r>
        <w:rPr>
          <w:rFonts w:eastAsia="等线" w:ascii="Arial" w:cs="Arial" w:hAnsi="Arial"/>
          <w:b w:val="true"/>
          <w:color w:val="6425d0"/>
          <w:sz w:val="22"/>
        </w:rPr>
        <w:t>。</w:t>
      </w:r>
      <w:r>
        <w:rPr>
          <w:rFonts w:eastAsia="等线" w:ascii="Arial" w:cs="Arial" w:hAnsi="Arial"/>
          <w:sz w:val="22"/>
        </w:rPr>
        <w:t>避免使用“警报”、“危险”、“异常”等强刺激性词汇。必须清晰传达：身体指标的波动是常态，我们的价值是帮你识别“需要关注的信号”，并提供清晰的下一步指引。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从「复杂」到「直观」</w:t>
      </w:r>
      <w:r>
        <w:rPr>
          <w:rFonts w:eastAsia="等线" w:ascii="Arial" w:cs="Arial" w:hAnsi="Arial"/>
          <w:sz w:val="22"/>
        </w:rPr>
        <w:t>：我们必须将复杂的统计学概念（如z-score、百分位）翻译成用户一听就懂的“大白话”。结论必须是</w:t>
      </w:r>
      <w:r>
        <w:rPr>
          <w:rFonts w:eastAsia="等线" w:ascii="Arial" w:cs="Arial" w:hAnsi="Arial"/>
          <w:b w:val="true"/>
          <w:sz w:val="22"/>
        </w:rPr>
        <w:t>一句话摘要 + 简短解释</w:t>
      </w:r>
      <w:r>
        <w:rPr>
          <w:rFonts w:eastAsia="等线" w:ascii="Arial" w:cs="Arial" w:hAnsi="Arial"/>
          <w:sz w:val="22"/>
        </w:rPr>
        <w:t>。例如，不说“z-score=2.1”，而说“您最近的心率比平时显著活跃，可能需要多加关注。”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从「孤立」到「连接」</w:t>
      </w:r>
      <w:r>
        <w:rPr>
          <w:rFonts w:eastAsia="等线" w:ascii="Arial" w:cs="Arial" w:hAnsi="Arial"/>
          <w:sz w:val="22"/>
        </w:rPr>
        <w:t>：功能的终点绝不是用户看完报告。必须将洞察与行动紧密连接，无论是</w:t>
      </w:r>
      <w:r>
        <w:rPr>
          <w:rFonts w:eastAsia="等线" w:ascii="Arial" w:cs="Arial" w:hAnsi="Arial"/>
          <w:b w:val="true"/>
          <w:sz w:val="22"/>
        </w:rPr>
        <w:t>连接自我</w:t>
      </w:r>
      <w:r>
        <w:rPr>
          <w:rFonts w:eastAsia="等线" w:ascii="Arial" w:cs="Arial" w:hAnsi="Arial"/>
          <w:sz w:val="22"/>
        </w:rPr>
        <w:t>（设置观察目标）、</w:t>
      </w:r>
      <w:r>
        <w:rPr>
          <w:rFonts w:eastAsia="等线" w:ascii="Arial" w:cs="Arial" w:hAnsi="Arial"/>
          <w:b w:val="true"/>
          <w:sz w:val="22"/>
        </w:rPr>
        <w:t>连接亲友</w:t>
      </w:r>
      <w:r>
        <w:rPr>
          <w:rFonts w:eastAsia="等线" w:ascii="Arial" w:cs="Arial" w:hAnsi="Arial"/>
          <w:sz w:val="22"/>
        </w:rPr>
        <w:t>（安心分享），还是</w:t>
      </w:r>
      <w:r>
        <w:rPr>
          <w:rFonts w:eastAsia="等线" w:ascii="Arial" w:cs="Arial" w:hAnsi="Arial"/>
          <w:b w:val="true"/>
          <w:sz w:val="22"/>
        </w:rPr>
        <w:t>连接专业服务</w:t>
      </w:r>
      <w:r>
        <w:rPr>
          <w:rFonts w:eastAsia="等线" w:ascii="Arial" w:cs="Arial" w:hAnsi="Arial"/>
          <w:sz w:val="22"/>
        </w:rPr>
        <w:t>（一键咨询医生）。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背景与痛点（Problem）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8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目标与成功指标（OKR / KPI）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Objective: 在90天内成功上线MVP，验证“数据差异洞察”对提升用户参与度和商业转化的核心价值。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Results (度量周期: 上线后30/60天):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用户活跃与粘性 (Engagement &amp; Retention):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KR1</w:t>
      </w:r>
      <w:r>
        <w:rPr>
          <w:rFonts w:eastAsia="等线" w:ascii="Arial" w:cs="Arial" w:hAnsi="Arial"/>
          <w:sz w:val="22"/>
        </w:rPr>
        <w:t>: 功能曝光人群的</w:t>
      </w:r>
      <w:r>
        <w:rPr>
          <w:rFonts w:eastAsia="等线" w:ascii="Arial" w:cs="Arial" w:hAnsi="Arial"/>
          <w:b w:val="true"/>
          <w:sz w:val="22"/>
        </w:rPr>
        <w:t>次日留存率</w:t>
      </w:r>
      <w:r>
        <w:rPr>
          <w:rFonts w:eastAsia="等线" w:ascii="Arial" w:cs="Arial" w:hAnsi="Arial"/>
          <w:sz w:val="22"/>
        </w:rPr>
        <w:t xml:space="preserve">相对对照组提升 ≥ </w:t>
      </w:r>
      <w:r>
        <w:rPr>
          <w:rFonts w:eastAsia="等线" w:ascii="Arial" w:cs="Arial" w:hAnsi="Arial"/>
          <w:b w:val="true"/>
          <w:sz w:val="22"/>
        </w:rPr>
        <w:t>10%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KR2</w:t>
      </w:r>
      <w:r>
        <w:rPr>
          <w:rFonts w:eastAsia="等线" w:ascii="Arial" w:cs="Arial" w:hAnsi="Arial"/>
          <w:sz w:val="22"/>
        </w:rPr>
        <w:t>: 从首页Banner/我的健康页到差异报告详情页的</w:t>
      </w:r>
      <w:r>
        <w:rPr>
          <w:rFonts w:eastAsia="等线" w:ascii="Arial" w:cs="Arial" w:hAnsi="Arial"/>
          <w:b w:val="true"/>
          <w:sz w:val="22"/>
        </w:rPr>
        <w:t>点击转化率 (CTR)</w:t>
      </w:r>
      <w:r>
        <w:rPr>
          <w:rFonts w:eastAsia="等线" w:ascii="Arial" w:cs="Arial" w:hAnsi="Arial"/>
          <w:sz w:val="22"/>
        </w:rPr>
        <w:t xml:space="preserve"> ≥ </w:t>
      </w:r>
      <w:r>
        <w:rPr>
          <w:rFonts w:eastAsia="等线" w:ascii="Arial" w:cs="Arial" w:hAnsi="Arial"/>
          <w:b w:val="true"/>
          <w:sz w:val="22"/>
        </w:rPr>
        <w:t>15%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KR3</w:t>
      </w:r>
      <w:r>
        <w:rPr>
          <w:rFonts w:eastAsia="等线" w:ascii="Arial" w:cs="Arial" w:hAnsi="Arial"/>
          <w:sz w:val="22"/>
        </w:rPr>
        <w:t>: 差异报告的</w:t>
      </w:r>
      <w:r>
        <w:rPr>
          <w:rFonts w:eastAsia="等线" w:ascii="Arial" w:cs="Arial" w:hAnsi="Arial"/>
          <w:b w:val="true"/>
          <w:sz w:val="22"/>
        </w:rPr>
        <w:t>分享率</w:t>
      </w:r>
      <w:r>
        <w:rPr>
          <w:rFonts w:eastAsia="等线" w:ascii="Arial" w:cs="Arial" w:hAnsi="Arial"/>
          <w:sz w:val="22"/>
        </w:rPr>
        <w:t xml:space="preserve"> (成功分享至站外) ≥ </w:t>
      </w:r>
      <w:r>
        <w:rPr>
          <w:rFonts w:eastAsia="等线" w:ascii="Arial" w:cs="Arial" w:hAnsi="Arial"/>
          <w:b w:val="true"/>
          <w:sz w:val="22"/>
        </w:rPr>
        <w:t>3%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商业转化 (Monetization):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KR4</w:t>
      </w:r>
      <w:r>
        <w:rPr>
          <w:rFonts w:eastAsia="等线" w:ascii="Arial" w:cs="Arial" w:hAnsi="Arial"/>
          <w:sz w:val="22"/>
        </w:rPr>
        <w:t xml:space="preserve">: 查看报告后，用户发起**“申请医生复核”**的比例相对基线提升 ≥ </w:t>
      </w:r>
      <w:r>
        <w:rPr>
          <w:rFonts w:eastAsia="等线" w:ascii="Arial" w:cs="Arial" w:hAnsi="Arial"/>
          <w:b w:val="true"/>
          <w:sz w:val="22"/>
        </w:rPr>
        <w:t>10%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KR5</w:t>
      </w:r>
      <w:r>
        <w:rPr>
          <w:rFonts w:eastAsia="等线" w:ascii="Arial" w:cs="Arial" w:hAnsi="Arial"/>
          <w:sz w:val="22"/>
        </w:rPr>
        <w:t>: 查看报告后7天内，用户</w:t>
      </w:r>
      <w:r>
        <w:rPr>
          <w:rFonts w:eastAsia="等线" w:ascii="Arial" w:cs="Arial" w:hAnsi="Arial"/>
          <w:b w:val="true"/>
          <w:sz w:val="22"/>
        </w:rPr>
        <w:t>付费转化率</w:t>
      </w:r>
      <w:r>
        <w:rPr>
          <w:rFonts w:eastAsia="等线" w:ascii="Arial" w:cs="Arial" w:hAnsi="Arial"/>
          <w:sz w:val="22"/>
        </w:rPr>
        <w:t xml:space="preserve">相对对照组提升 ≥ </w:t>
      </w:r>
      <w:r>
        <w:rPr>
          <w:rFonts w:eastAsia="等线" w:ascii="Arial" w:cs="Arial" w:hAnsi="Arial"/>
          <w:b w:val="true"/>
          <w:sz w:val="22"/>
        </w:rPr>
        <w:t>1.5%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算法与内容质量 (Quality):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KR6</w:t>
      </w:r>
      <w:r>
        <w:rPr>
          <w:rFonts w:eastAsia="等线" w:ascii="Arial" w:cs="Arial" w:hAnsi="Arial"/>
          <w:sz w:val="22"/>
        </w:rPr>
        <w:t>: 差异预警的人工抽样审核中，被医生判定为“</w:t>
      </w:r>
      <w:r>
        <w:rPr>
          <w:rFonts w:eastAsia="等线" w:ascii="Arial" w:cs="Arial" w:hAnsi="Arial"/>
          <w:b w:val="true"/>
          <w:sz w:val="22"/>
        </w:rPr>
        <w:t>有临床参考价值</w:t>
      </w:r>
      <w:r>
        <w:rPr>
          <w:rFonts w:eastAsia="等线" w:ascii="Arial" w:cs="Arial" w:hAnsi="Arial"/>
          <w:sz w:val="22"/>
        </w:rPr>
        <w:t xml:space="preserve">”的比例 ≥ </w:t>
      </w:r>
      <w:r>
        <w:rPr>
          <w:rFonts w:eastAsia="等线" w:ascii="Arial" w:cs="Arial" w:hAnsi="Arial"/>
          <w:b w:val="true"/>
          <w:sz w:val="22"/>
        </w:rPr>
        <w:t>85%</w:t>
      </w:r>
      <w:r>
        <w:rPr>
          <w:rFonts w:eastAsia="等线" w:ascii="Arial" w:cs="Arial" w:hAnsi="Arial"/>
          <w:sz w:val="22"/>
        </w:rPr>
        <w:t xml:space="preserve"> (即误报率 ≤ 15%)。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Guardrail Metrics (护栏指标，必须监控以防负面影响):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用户体验护栏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负面反馈率</w:t>
      </w:r>
      <w:r>
        <w:rPr>
          <w:rFonts w:eastAsia="等线" w:ascii="Arial" w:cs="Arial" w:hAnsi="Arial"/>
          <w:sz w:val="22"/>
        </w:rPr>
        <w:t>: 在用户反馈、应用商店评论中，提及“焦虑、恐慌、不准、看不懂”等负面词汇的比例，相比基线</w:t>
      </w:r>
      <w:r>
        <w:rPr>
          <w:rFonts w:eastAsia="等线" w:ascii="Arial" w:cs="Arial" w:hAnsi="Arial"/>
          <w:b w:val="true"/>
          <w:sz w:val="22"/>
        </w:rPr>
        <w:t>无显著上升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客服咨询增长率</w:t>
      </w:r>
      <w:r>
        <w:rPr>
          <w:rFonts w:eastAsia="等线" w:ascii="Arial" w:cs="Arial" w:hAnsi="Arial"/>
          <w:sz w:val="22"/>
        </w:rPr>
        <w:t xml:space="preserve">: 因查看此报告而发起客服咨询的用户量，增幅控制在 </w:t>
      </w:r>
      <w:r>
        <w:rPr>
          <w:rFonts w:eastAsia="等线" w:ascii="Arial" w:cs="Arial" w:hAnsi="Arial"/>
          <w:b w:val="true"/>
          <w:sz w:val="22"/>
        </w:rPr>
        <w:t>5%</w:t>
      </w:r>
      <w:r>
        <w:rPr>
          <w:rFonts w:eastAsia="等线" w:ascii="Arial" w:cs="Arial" w:hAnsi="Arial"/>
          <w:sz w:val="22"/>
        </w:rPr>
        <w:t xml:space="preserve"> 以内。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医疗安全护栏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“假警报”付费率</w:t>
      </w:r>
      <w:r>
        <w:rPr>
          <w:rFonts w:eastAsia="等线" w:ascii="Arial" w:cs="Arial" w:hAnsi="Arial"/>
          <w:sz w:val="22"/>
        </w:rPr>
        <w:t>: 监控因收到“显著变化”提醒而付费，但后续医生复核确认为“无碍”的用户比例及投诉情况，避免诱导性消费。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目标用户 &amp; 场景（Personas）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MVP 范围（What 做 / 不做）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必须包含 (In Scope for v1.0):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核心差异分析引擎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单用户时间差异计算 (z-score)。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群体均值/分位数计算 (按年龄/性别/核心病史)。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用户端产品呈现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差异总览卡片 (在首页/健康页)。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差异分析详情报告页 (包含图表、文本结论)。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允许用户在图表上做简单的</w:t>
      </w:r>
      <w:r>
        <w:rPr>
          <w:rFonts w:eastAsia="等线" w:ascii="Arial" w:cs="Arial" w:hAnsi="Arial"/>
          <w:b w:val="true"/>
          <w:sz w:val="22"/>
        </w:rPr>
        <w:t>“事件标记”</w:t>
      </w:r>
      <w:r>
        <w:rPr>
          <w:rFonts w:eastAsia="等线" w:ascii="Arial" w:cs="Arial" w:hAnsi="Arial"/>
          <w:sz w:val="22"/>
        </w:rPr>
        <w:t xml:space="preserve"> (如: 熬夜, 喝咖啡)。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核心交互与闭环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用户自主选择是否加入群体对比的**“隐私授权”**流程。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基础的分享功能 (生成图片/长图)。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“申请医生复核”的入口及流程。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通知与预警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基于统计阈值的推送通知 (Push Notification)。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数据与分析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覆盖核心路径的埋点。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支撑OKR度量的BI数据看板。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明确不做 (Out of Scope for v1.0):</w:t>
      </w:r>
      <w:bookmarkEnd w:id="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高级算法模型</w:t>
      </w:r>
      <w:r>
        <w:rPr>
          <w:rFonts w:eastAsia="等线" w:ascii="Arial" w:cs="Arial" w:hAnsi="Arial"/>
          <w:sz w:val="22"/>
        </w:rPr>
        <w:t>: 复杂的因果推断、多因子风险评分、深度学习预测模型。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多指标联动分析</w:t>
      </w:r>
      <w:r>
        <w:rPr>
          <w:rFonts w:eastAsia="等线" w:ascii="Arial" w:cs="Arial" w:hAnsi="Arial"/>
          <w:sz w:val="22"/>
        </w:rPr>
        <w:t>: 如“血压升高”与“HRV下降”的关联分析 (</w:t>
      </w:r>
      <w:r>
        <w:rPr>
          <w:rFonts w:eastAsia="等线" w:ascii="Arial" w:cs="Arial" w:hAnsi="Arial"/>
          <w:b w:val="true"/>
          <w:color w:val="d83931"/>
          <w:sz w:val="22"/>
        </w:rPr>
        <w:t>v1</w:t>
      </w:r>
      <w:r>
        <w:rPr>
          <w:rFonts w:eastAsia="等线" w:ascii="Arial" w:cs="Arial" w:hAnsi="Arial"/>
          <w:sz w:val="22"/>
        </w:rPr>
        <w:t>仅单指标分析)。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医生/B端管理后台</w:t>
      </w:r>
      <w:r>
        <w:rPr>
          <w:rFonts w:eastAsia="等线" w:ascii="Arial" w:cs="Arial" w:hAnsi="Arial"/>
          <w:sz w:val="22"/>
        </w:rPr>
        <w:t>: 批量患者管理、随访任务列表等 (</w:t>
      </w:r>
      <w:r>
        <w:rPr>
          <w:rFonts w:eastAsia="等线" w:ascii="Arial" w:cs="Arial" w:hAnsi="Arial"/>
          <w:b w:val="true"/>
          <w:color w:val="d83931"/>
          <w:sz w:val="22"/>
        </w:rPr>
        <w:t>v2</w:t>
      </w:r>
      <w:r>
        <w:rPr>
          <w:rFonts w:eastAsia="等线" w:ascii="Arial" w:cs="Arial" w:hAnsi="Arial"/>
          <w:sz w:val="22"/>
        </w:rPr>
        <w:t>规划)。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复杂的用户自定义</w:t>
      </w:r>
      <w:r>
        <w:rPr>
          <w:rFonts w:eastAsia="等线" w:ascii="Arial" w:cs="Arial" w:hAnsi="Arial"/>
          <w:sz w:val="22"/>
        </w:rPr>
        <w:t>: 如自定义基线周期、自定义预警阈值等。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社交互动功能</w:t>
      </w:r>
      <w:r>
        <w:rPr>
          <w:rFonts w:eastAsia="等线" w:ascii="Arial" w:cs="Arial" w:hAnsi="Arial"/>
          <w:sz w:val="22"/>
        </w:rPr>
        <w:t>: 如用户之间的排行榜、心得交流区。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功能详述（Feature Specs）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F1: 差异总览卡片 (入口)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US-01, US-03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: App首页Banner / “我的健康”页顶部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UI/UX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采用卡片式设计，视觉上突出1-2个最核心的结论。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内容包括：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指标名称</w:t>
      </w:r>
      <w:r>
        <w:rPr>
          <w:rFonts w:eastAsia="等线" w:ascii="Arial" w:cs="Arial" w:hAnsi="Arial"/>
          <w:sz w:val="22"/>
        </w:rPr>
        <w:t>: 如“静息心率”。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: 采用模板文案，如“近期平稳”、“轻度偏高”、“优于65%同龄人”。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趋势箭头</w:t>
      </w:r>
      <w:r>
        <w:rPr>
          <w:rFonts w:eastAsia="等线" w:ascii="Arial" w:cs="Arial" w:hAnsi="Arial"/>
          <w:sz w:val="22"/>
        </w:rPr>
        <w:t>: ↑ (上升), ↓ (下降), → (平稳)。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行动号召 (CTA)</w:t>
      </w:r>
      <w:r>
        <w:rPr>
          <w:rFonts w:eastAsia="等线" w:ascii="Arial" w:cs="Arial" w:hAnsi="Arial"/>
          <w:sz w:val="22"/>
        </w:rPr>
        <w:t>: “点击查看详情 &gt;”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若有多个指标有显著变化，可左右滑动切换卡片。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逻辑规则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优先展示 |z-score| 最高的指标，或最近触发预警的指标。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若无显著变化，则展示“近期各项指标均保持平稳”或一个正向鼓励（如“您的心脏活力优于xx%同龄人”）。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diff_overview_card_exposed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diff_overview_card_clicked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F2: 差异详情报告页 (核心)</w:t>
      </w:r>
      <w:bookmarkEnd w:id="1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US-01, US-02, US-03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UI/UX</w:t>
      </w:r>
      <w:r>
        <w:rPr>
          <w:rFonts w:eastAsia="等线" w:ascii="Arial" w:cs="Arial" w:hAnsi="Arial"/>
          <w:sz w:val="22"/>
        </w:rPr>
        <w:t>: 页面从上到下分为四个区域：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标题区</w:t>
      </w:r>
      <w:r>
        <w:rPr>
          <w:rFonts w:eastAsia="等线" w:ascii="Arial" w:cs="Arial" w:hAnsi="Arial"/>
          <w:sz w:val="22"/>
        </w:rPr>
        <w:t>: “您的[心率]健康趋势报告”。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核心结论区</w:t>
      </w:r>
      <w:r>
        <w:rPr>
          <w:rFonts w:eastAsia="等线" w:ascii="Arial" w:cs="Arial" w:hAnsi="Arial"/>
          <w:sz w:val="22"/>
        </w:rPr>
        <w:t>: 一句最重要的话总结，如“您最近7天平均心率比过去30天基线</w:t>
      </w:r>
      <w:r>
        <w:rPr>
          <w:rFonts w:eastAsia="等线" w:ascii="Arial" w:cs="Arial" w:hAnsi="Arial"/>
          <w:b w:val="true"/>
          <w:sz w:val="22"/>
        </w:rPr>
        <w:t>高8%</w:t>
      </w:r>
      <w:r>
        <w:rPr>
          <w:rFonts w:eastAsia="等线" w:ascii="Arial" w:cs="Arial" w:hAnsi="Arial"/>
          <w:sz w:val="22"/>
        </w:rPr>
        <w:t>，属于</w:t>
      </w:r>
      <w:r>
        <w:rPr>
          <w:rFonts w:eastAsia="等线" w:ascii="Arial" w:cs="Arial" w:hAnsi="Arial"/>
          <w:b w:val="true"/>
          <w:sz w:val="22"/>
        </w:rPr>
        <w:t>轻度偏高</w:t>
      </w:r>
      <w:r>
        <w:rPr>
          <w:rFonts w:eastAsia="等线" w:ascii="Arial" w:cs="Arial" w:hAnsi="Arial"/>
          <w:sz w:val="22"/>
        </w:rPr>
        <w:t>。”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图表可视化区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折线图展示指标走向，时间窗口可切换 (7天/30天/90天)。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用户自己的数据用彩色实线表示。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群体均值</w:t>
      </w:r>
      <w:r>
        <w:rPr>
          <w:rFonts w:eastAsia="等线" w:ascii="Arial" w:cs="Arial" w:hAnsi="Arial"/>
          <w:sz w:val="22"/>
        </w:rPr>
        <w:t>用灰色带状区域（置信区间）作为背景。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允许用户点击图表上的某一天，</w:t>
      </w:r>
      <w:r>
        <w:rPr>
          <w:rFonts w:eastAsia="等线" w:ascii="Arial" w:cs="Arial" w:hAnsi="Arial"/>
          <w:b w:val="true"/>
          <w:sz w:val="22"/>
        </w:rPr>
        <w:t>添加“事件标签”</w:t>
      </w:r>
      <w:r>
        <w:rPr>
          <w:rFonts w:eastAsia="等线" w:ascii="Arial" w:cs="Arial" w:hAnsi="Arial"/>
          <w:sz w:val="22"/>
        </w:rPr>
        <w:t xml:space="preserve"> (从预设标签选择：运动、熬夜、饮酒、服药、不适等)。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数据解读与行动建议区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与自己比</w:t>
      </w:r>
      <w:r>
        <w:rPr>
          <w:rFonts w:eastAsia="等线" w:ascii="Arial" w:cs="Arial" w:hAnsi="Arial"/>
          <w:sz w:val="22"/>
        </w:rPr>
        <w:t>: 卡片形式展示“您本人历史基线对比”，包括：</w:t>
      </w:r>
      <w:r>
        <w:rPr>
          <w:rFonts w:eastAsia="Consolas" w:ascii="Consolas" w:cs="Consolas" w:hAnsi="Consolas"/>
          <w:sz w:val="22"/>
          <w:shd w:fill="EFF0F1"/>
        </w:rPr>
        <w:t>基线均值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最近7天均值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变化百分比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z-score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与他人比</w:t>
      </w:r>
      <w:r>
        <w:rPr>
          <w:rFonts w:eastAsia="等线" w:ascii="Arial" w:cs="Arial" w:hAnsi="Arial"/>
          <w:sz w:val="22"/>
        </w:rPr>
        <w:t>: 卡片形式展示“与同龄人对比”，包括：“您在[40-59岁，女性]群体中，位于第</w:t>
      </w:r>
      <w:r>
        <w:rPr>
          <w:rFonts w:eastAsia="等线" w:ascii="Arial" w:cs="Arial" w:hAnsi="Arial"/>
          <w:b w:val="true"/>
          <w:sz w:val="22"/>
        </w:rPr>
        <w:t>35百分位</w:t>
      </w:r>
      <w:r>
        <w:rPr>
          <w:rFonts w:eastAsia="等线" w:ascii="Arial" w:cs="Arial" w:hAnsi="Arial"/>
          <w:sz w:val="22"/>
        </w:rPr>
        <w:t>，说明处于人群中下游。”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行动建议 (Actionable Advice)</w:t>
      </w:r>
      <w:r>
        <w:rPr>
          <w:rFonts w:eastAsia="等线" w:ascii="Arial" w:cs="Arial" w:hAnsi="Arial"/>
          <w:sz w:val="22"/>
        </w:rPr>
        <w:t>: 根据结论提供1-2条清晰、可执行的建议。例如：“建议：未来3天继续观察并复测；若持续上升或伴有不适，请咨询医生。”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页面右上角有“分享”按钮。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页面底部有固定的“</w:t>
      </w:r>
      <w:r>
        <w:rPr>
          <w:rFonts w:eastAsia="等线" w:ascii="Arial" w:cs="Arial" w:hAnsi="Arial"/>
          <w:b w:val="true"/>
          <w:sz w:val="22"/>
        </w:rPr>
        <w:t>申请医生复核</w:t>
      </w:r>
      <w:r>
        <w:rPr>
          <w:rFonts w:eastAsia="等线" w:ascii="Arial" w:cs="Arial" w:hAnsi="Arial"/>
          <w:sz w:val="22"/>
        </w:rPr>
        <w:t>”大按钮。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diff_detail_report_view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diff_detail_timespan_switch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diff_detail_event_tag_add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diff_detail_share_click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diff_detail_apply_doctor_click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F3: 群体对比隐私授权</w:t>
      </w:r>
      <w:bookmarkEnd w:id="12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US-02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: 首次进入详情报告页时，以模态弹窗(Modal)形式出现。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UI/UX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标题：“加入群体对比，发现您的健康坐标”。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用简单易懂的图文解释：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您将获得</w:t>
      </w:r>
      <w:r>
        <w:rPr>
          <w:rFonts w:eastAsia="等线" w:ascii="Arial" w:cs="Arial" w:hAnsi="Arial"/>
          <w:sz w:val="22"/>
        </w:rPr>
        <w:t>: “了解您在同龄、同性别朋友中的健康水平。”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我们如何保护您的隐私</w:t>
      </w:r>
      <w:r>
        <w:rPr>
          <w:rFonts w:eastAsia="等线" w:ascii="Arial" w:cs="Arial" w:hAnsi="Arial"/>
          <w:sz w:val="22"/>
        </w:rPr>
        <w:t>: “您的数据将</w:t>
      </w:r>
      <w:r>
        <w:rPr>
          <w:rFonts w:eastAsia="等线" w:ascii="Arial" w:cs="Arial" w:hAnsi="Arial"/>
          <w:b w:val="true"/>
          <w:sz w:val="22"/>
        </w:rPr>
        <w:t>完全匿名</w:t>
      </w:r>
      <w:r>
        <w:rPr>
          <w:rFonts w:eastAsia="等线" w:ascii="Arial" w:cs="Arial" w:hAnsi="Arial"/>
          <w:sz w:val="22"/>
        </w:rPr>
        <w:t>，并与数万人的数据一起计算，任何人都无法看到您的个人信息。”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两个清晰的按钮：“</w:t>
      </w:r>
      <w:r>
        <w:rPr>
          <w:rFonts w:eastAsia="等线" w:ascii="Arial" w:cs="Arial" w:hAnsi="Arial"/>
          <w:b w:val="true"/>
          <w:sz w:val="22"/>
        </w:rPr>
        <w:t>同意并加入</w:t>
      </w:r>
      <w:r>
        <w:rPr>
          <w:rFonts w:eastAsia="等线" w:ascii="Arial" w:cs="Arial" w:hAnsi="Arial"/>
          <w:sz w:val="22"/>
        </w:rPr>
        <w:t>”（推荐）、“</w:t>
      </w:r>
      <w:r>
        <w:rPr>
          <w:rFonts w:eastAsia="等线" w:ascii="Arial" w:cs="Arial" w:hAnsi="Arial"/>
          <w:b w:val="true"/>
          <w:sz w:val="22"/>
        </w:rPr>
        <w:t>不了，谢谢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逻辑规则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用户可随时在“设置-隐私”中开启或关闭此选项。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若用户不同意，则报告页不展示“与他人比”的模块。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diff_cohort_optin_prompt_view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diff_cohort_optin_confirm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diff_cohort_optin_cancel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F4: 差异预警与通知</w:t>
      </w:r>
      <w:bookmarkEnd w:id="1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US-04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触发逻辑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显著变化</w:t>
      </w:r>
      <w:r>
        <w:rPr>
          <w:rFonts w:eastAsia="等线" w:ascii="Arial" w:cs="Arial" w:hAnsi="Arial"/>
          <w:sz w:val="22"/>
        </w:rPr>
        <w:t>: 某项指标的 |z-score| ≥ 2 (阈值可在后台配置)。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持续趋势</w:t>
      </w:r>
      <w:r>
        <w:rPr>
          <w:rFonts w:eastAsia="等线" w:ascii="Arial" w:cs="Arial" w:hAnsi="Arial"/>
          <w:sz w:val="22"/>
        </w:rPr>
        <w:t>: 连续3天（可配置）指标朝同一方向变化（简单线性回归斜率判断）。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冷却机制</w:t>
      </w:r>
      <w:r>
        <w:rPr>
          <w:rFonts w:eastAsia="等线" w:ascii="Arial" w:cs="Arial" w:hAnsi="Arial"/>
          <w:sz w:val="22"/>
        </w:rPr>
        <w:t>: 同一指标的预警，3天内不重复发送。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通知内容 (Push Notification)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: 心脏+ 健康提示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: 遵循“事实+建议”的模板。例如：“提示：我们监测到您最近3天平均心率呈持续上升趋势。建议您今天再次测量，并留意身体状况。” (严格避免诊断性词汇)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: 点击通知直接跳转到对应的差异详情报告页。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diff_alert_sent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diff_alert_clicked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F5 — 分享与医生入口</w:t>
      </w:r>
      <w:bookmarkEnd w:id="14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</w:t>
      </w:r>
      <w:r>
        <w:rPr>
          <w:rFonts w:eastAsia="等线" w:ascii="Arial" w:cs="Arial" w:hAnsi="Arial"/>
          <w:sz w:val="22"/>
        </w:rPr>
        <w:t>：生成静态图片 + 简短文本（自动模版），可以分享到社交平台或发给医生。支持导出 PDF。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医生入口</w:t>
      </w:r>
      <w:r>
        <w:rPr>
          <w:rFonts w:eastAsia="等线" w:ascii="Arial" w:cs="Arial" w:hAnsi="Arial"/>
          <w:sz w:val="22"/>
        </w:rPr>
        <w:t>：将报告一键提交到医生复核队列（会生成病例卡片），医生端可查看关键差异摘要（后续集成医生平台）。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</w:t>
      </w:r>
      <w:r>
        <w:rPr>
          <w:rFonts w:eastAsia="等线" w:ascii="Arial" w:cs="Arial" w:hAnsi="Arial"/>
          <w:sz w:val="22"/>
        </w:rPr>
        <w:t>：share_success / doctor_submit_success。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数据与算法设计（How）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本章节旨在为数据、算法和后端工程师提供清晰的实现指南，确保我们数据驱动的内核既准确又稳健。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7.1 数据输入 (Data Inputs)</w:t>
      </w:r>
      <w:bookmarkEnd w:id="1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核心时序数据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心电指标 (</w:t>
      </w:r>
      <w:r>
        <w:rPr>
          <w:rFonts w:eastAsia="Consolas" w:ascii="Consolas" w:cs="Consolas" w:hAnsi="Consolas"/>
          <w:b w:val="true"/>
          <w:sz w:val="22"/>
          <w:shd w:fill="EFF0F1"/>
        </w:rPr>
        <w:t>ecg_daily_metrics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: 必须包含日粒度的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avg_hr_rest</w:t>
      </w:r>
      <w:r>
        <w:rPr>
          <w:rFonts w:eastAsia="等线" w:ascii="Arial" w:cs="Arial" w:hAnsi="Arial"/>
          <w:sz w:val="22"/>
        </w:rPr>
        <w:t xml:space="preserve"> (日均静息心率), </w:t>
      </w:r>
      <w:r>
        <w:rPr>
          <w:rFonts w:eastAsia="Consolas" w:ascii="Consolas" w:cs="Consolas" w:hAnsi="Consolas"/>
          <w:sz w:val="22"/>
          <w:shd w:fill="EFF0F1"/>
        </w:rPr>
        <w:t>hrv_sdnn</w:t>
      </w:r>
      <w:r>
        <w:rPr>
          <w:rFonts w:eastAsia="等线" w:ascii="Arial" w:cs="Arial" w:hAnsi="Arial"/>
          <w:sz w:val="22"/>
        </w:rPr>
        <w:t xml:space="preserve"> (或其它核心HRV指标), </w:t>
      </w:r>
      <w:r>
        <w:rPr>
          <w:rFonts w:eastAsia="Consolas" w:ascii="Consolas" w:cs="Consolas" w:hAnsi="Consolas"/>
          <w:sz w:val="22"/>
          <w:shd w:fill="EFF0F1"/>
        </w:rPr>
        <w:t>afib_burden_seconds</w:t>
      </w:r>
      <w:r>
        <w:rPr>
          <w:rFonts w:eastAsia="等线" w:ascii="Arial" w:cs="Arial" w:hAnsi="Arial"/>
          <w:sz w:val="22"/>
        </w:rPr>
        <w:t xml:space="preserve"> (房颤负荷秒数)。数据要求每日聚合，并排除明显异常值。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血压指标 (</w:t>
      </w:r>
      <w:r>
        <w:rPr>
          <w:rFonts w:eastAsia="Consolas" w:ascii="Consolas" w:cs="Consolas" w:hAnsi="Consolas"/>
          <w:b w:val="true"/>
          <w:sz w:val="22"/>
          <w:shd w:fill="EFF0F1"/>
        </w:rPr>
        <w:t>bp_daily_metrics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 xml:space="preserve">: 必须包含日粒度的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systolic_avg</w:t>
      </w:r>
      <w:r>
        <w:rPr>
          <w:rFonts w:eastAsia="等线" w:ascii="Arial" w:cs="Arial" w:hAnsi="Arial"/>
          <w:sz w:val="22"/>
        </w:rPr>
        <w:t xml:space="preserve"> (日均收缩压), </w:t>
      </w:r>
      <w:r>
        <w:rPr>
          <w:rFonts w:eastAsia="Consolas" w:ascii="Consolas" w:cs="Consolas" w:hAnsi="Consolas"/>
          <w:sz w:val="22"/>
          <w:shd w:fill="EFF0F1"/>
        </w:rPr>
        <w:t>diastolic_avg</w:t>
      </w:r>
      <w:r>
        <w:rPr>
          <w:rFonts w:eastAsia="等线" w:ascii="Arial" w:cs="Arial" w:hAnsi="Arial"/>
          <w:sz w:val="22"/>
        </w:rPr>
        <w:t xml:space="preserve"> (日均舒张压)。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用户画像数据 (</w:t>
      </w:r>
      <w:r>
        <w:rPr>
          <w:rFonts w:eastAsia="Consolas" w:ascii="Consolas" w:cs="Consolas" w:hAnsi="Consolas"/>
          <w:b w:val="true"/>
          <w:sz w:val="22"/>
          <w:shd w:fill="EFF0F1"/>
        </w:rPr>
        <w:t>user_profiles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birth_date</w:t>
      </w:r>
      <w:r>
        <w:rPr>
          <w:rFonts w:eastAsia="等线" w:ascii="Arial" w:cs="Arial" w:hAnsi="Arial"/>
          <w:sz w:val="22"/>
        </w:rPr>
        <w:t xml:space="preserve"> (用于计算年龄), </w:t>
      </w:r>
      <w:r>
        <w:rPr>
          <w:rFonts w:eastAsia="Consolas" w:ascii="Consolas" w:cs="Consolas" w:hAnsi="Consolas"/>
          <w:sz w:val="22"/>
          <w:shd w:fill="EFF0F1"/>
        </w:rPr>
        <w:t>gender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known_conditions</w:t>
      </w:r>
      <w:r>
        <w:rPr>
          <w:rFonts w:eastAsia="等线" w:ascii="Arial" w:cs="Arial" w:hAnsi="Arial"/>
          <w:sz w:val="22"/>
        </w:rPr>
        <w:t xml:space="preserve"> (结构化标签，如 'atrial_fibrillation', 'hypertension')。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数据新鲜度</w:t>
      </w:r>
      <w:r>
        <w:rPr>
          <w:rFonts w:eastAsia="等线" w:ascii="Arial" w:cs="Arial" w:hAnsi="Arial"/>
          <w:sz w:val="22"/>
        </w:rPr>
        <w:t>: 用于实时报告生成的数据，要求T+1可用。即用户今天可以分析截至昨天的数据。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现有基线：22 万注册用户，日新增 150，日活 2000，每日心电 ~9000 条。v1 先用心电与血压数据。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 xml:space="preserve">7.2 </w:t>
      </w:r>
      <w:r>
        <w:rPr>
          <w:rFonts w:eastAsia="等线" w:ascii="Arial" w:cs="Arial" w:hAnsi="Arial"/>
          <w:b w:val="true"/>
          <w:color w:val="6425d0"/>
          <w:sz w:val="28"/>
        </w:rPr>
        <w:t>基线</w:t>
      </w:r>
      <w:r>
        <w:rPr>
          <w:rFonts w:eastAsia="等线" w:ascii="Arial" w:cs="Arial" w:hAnsi="Arial"/>
          <w:b w:val="true"/>
          <w:sz w:val="28"/>
        </w:rPr>
        <w:t>与窗口定义（默认配置，可调）</w:t>
      </w:r>
      <w:bookmarkEnd w:id="1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基线窗口 (Baseline Window)</w:t>
      </w:r>
      <w:r>
        <w:rPr>
          <w:rFonts w:eastAsia="等线" w:ascii="Arial" w:cs="Arial" w:hAnsi="Arial"/>
          <w:sz w:val="22"/>
        </w:rPr>
        <w:t xml:space="preserve">: 过去 </w:t>
      </w:r>
      <w:r>
        <w:rPr>
          <w:rFonts w:eastAsia="等线" w:ascii="Arial" w:cs="Arial" w:hAnsi="Arial"/>
          <w:b w:val="true"/>
          <w:sz w:val="22"/>
        </w:rPr>
        <w:t>30</w:t>
      </w:r>
      <w:r>
        <w:rPr>
          <w:rFonts w:eastAsia="等线" w:ascii="Arial" w:cs="Arial" w:hAnsi="Arial"/>
          <w:sz w:val="22"/>
        </w:rPr>
        <w:t xml:space="preserve"> 天的有效数据。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检测窗口 (Recent Window)</w:t>
      </w:r>
      <w:r>
        <w:rPr>
          <w:rFonts w:eastAsia="等线" w:ascii="Arial" w:cs="Arial" w:hAnsi="Arial"/>
          <w:sz w:val="22"/>
        </w:rPr>
        <w:t xml:space="preserve">: 最近 </w:t>
      </w:r>
      <w:r>
        <w:rPr>
          <w:rFonts w:eastAsia="等线" w:ascii="Arial" w:cs="Arial" w:hAnsi="Arial"/>
          <w:b w:val="true"/>
          <w:sz w:val="22"/>
        </w:rPr>
        <w:t>7</w:t>
      </w:r>
      <w:r>
        <w:rPr>
          <w:rFonts w:eastAsia="等线" w:ascii="Arial" w:cs="Arial" w:hAnsi="Arial"/>
          <w:sz w:val="22"/>
        </w:rPr>
        <w:t xml:space="preserve"> 天的有效数据。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趋势窗口 (Trend Window)</w:t>
      </w:r>
      <w:r>
        <w:rPr>
          <w:rFonts w:eastAsia="等线" w:ascii="Arial" w:cs="Arial" w:hAnsi="Arial"/>
          <w:sz w:val="22"/>
        </w:rPr>
        <w:t xml:space="preserve">: 最近 </w:t>
      </w:r>
      <w:r>
        <w:rPr>
          <w:rFonts w:eastAsia="等线" w:ascii="Arial" w:cs="Arial" w:hAnsi="Arial"/>
          <w:b w:val="true"/>
          <w:sz w:val="22"/>
        </w:rPr>
        <w:t>3-5</w:t>
      </w:r>
      <w:r>
        <w:rPr>
          <w:rFonts w:eastAsia="等线" w:ascii="Arial" w:cs="Arial" w:hAnsi="Arial"/>
          <w:sz w:val="22"/>
        </w:rPr>
        <w:t xml:space="preserve"> 天的滚动数据，用于趋势检测。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可配置性</w:t>
      </w:r>
      <w:r>
        <w:rPr>
          <w:rFonts w:eastAsia="等线" w:ascii="Arial" w:cs="Arial" w:hAnsi="Arial"/>
          <w:sz w:val="22"/>
        </w:rPr>
        <w:t>: 所有窗口天数参数</w:t>
      </w:r>
      <w:r>
        <w:rPr>
          <w:rFonts w:eastAsia="等线" w:ascii="Arial" w:cs="Arial" w:hAnsi="Arial"/>
          <w:b w:val="true"/>
          <w:sz w:val="22"/>
        </w:rPr>
        <w:t>必须</w:t>
      </w:r>
      <w:r>
        <w:rPr>
          <w:rFonts w:eastAsia="等线" w:ascii="Arial" w:cs="Arial" w:hAnsi="Arial"/>
          <w:sz w:val="22"/>
        </w:rPr>
        <w:t>在后端服务中可配置，无需发布App新版即可调整，以便于后续A/B测试和算法优化。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7.3 统计方法（MVP 建议）</w:t>
      </w:r>
      <w:bookmarkEnd w:id="18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平稳化</w:t>
      </w:r>
      <w:r>
        <w:rPr>
          <w:rFonts w:eastAsia="等线" w:ascii="Arial" w:cs="Arial" w:hAnsi="Arial"/>
          <w:sz w:val="22"/>
        </w:rPr>
        <w:t>：对原始日序列做 3 日移动平均（可选）。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差异度量 (Z-score)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z = (μ_recent - μ_baseline) / σ_baseline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关键处理</w:t>
      </w:r>
      <w:r>
        <w:rPr>
          <w:rFonts w:eastAsia="等线" w:ascii="Arial" w:cs="Arial" w:hAnsi="Arial"/>
          <w:sz w:val="22"/>
        </w:rPr>
        <w:t xml:space="preserve">: 如果基线标准差 </w:t>
      </w:r>
      <w:r>
        <w:rPr>
          <w:rFonts w:eastAsia="Consolas" w:ascii="Consolas" w:cs="Consolas" w:hAnsi="Consolas"/>
          <w:sz w:val="22"/>
          <w:shd w:fill="EFF0F1"/>
        </w:rPr>
        <w:t>σ_baseline</w:t>
      </w:r>
      <w:r>
        <w:rPr>
          <w:rFonts w:eastAsia="等线" w:ascii="Arial" w:cs="Arial" w:hAnsi="Arial"/>
          <w:sz w:val="22"/>
        </w:rPr>
        <w:t xml:space="preserve"> 极小 (例如 &lt; 某个业务定义的阈值，如心率的2 bpm)，会导致z-score对微小波动过度敏感。在这种情况下，需采用一个</w:t>
      </w:r>
      <w:r>
        <w:rPr>
          <w:rFonts w:eastAsia="等线" w:ascii="Arial" w:cs="Arial" w:hAnsi="Arial"/>
          <w:b w:val="true"/>
          <w:sz w:val="22"/>
        </w:rPr>
        <w:t>修正后的标准差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σ'_baseline = max(σ_baseline, σ_min_threshold)</w:t>
      </w:r>
      <w:r>
        <w:rPr>
          <w:rFonts w:eastAsia="等线" w:ascii="Arial" w:cs="Arial" w:hAnsi="Arial"/>
          <w:sz w:val="22"/>
        </w:rPr>
        <w:t>，以增加算法的鲁棒性。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趋势检测 (Trend Detection)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简单线性回归</w:t>
      </w:r>
      <w:r>
        <w:rPr>
          <w:rFonts w:eastAsia="等线" w:ascii="Arial" w:cs="Arial" w:hAnsi="Arial"/>
          <w:sz w:val="22"/>
        </w:rPr>
        <w:t>对“趋势窗口”内的数据点进行拟合。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触发条件：回归线的</w:t>
      </w:r>
      <w:r>
        <w:rPr>
          <w:rFonts w:eastAsia="等线" w:ascii="Arial" w:cs="Arial" w:hAnsi="Arial"/>
          <w:b w:val="true"/>
          <w:sz w:val="22"/>
        </w:rPr>
        <w:t>斜率 (slope)</w:t>
      </w:r>
      <w:r>
        <w:rPr>
          <w:rFonts w:eastAsia="等线" w:ascii="Arial" w:cs="Arial" w:hAnsi="Arial"/>
          <w:sz w:val="22"/>
        </w:rPr>
        <w:t xml:space="preserve"> 显著不为零 (例如 p-value &lt; 0.05) </w:t>
      </w:r>
      <w:r>
        <w:rPr>
          <w:rFonts w:eastAsia="等线" w:ascii="Arial" w:cs="Arial" w:hAnsi="Arial"/>
          <w:b w:val="true"/>
          <w:sz w:val="22"/>
        </w:rPr>
        <w:t>且</w:t>
      </w:r>
      <w:r>
        <w:rPr>
          <w:rFonts w:eastAsia="等线" w:ascii="Arial" w:cs="Arial" w:hAnsi="Arial"/>
          <w:sz w:val="22"/>
        </w:rPr>
        <w:t xml:space="preserve"> 连续N天（如3天）均为正或均为负。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分位比较 (Percentile Comparison)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预计算</w:t>
      </w:r>
      <w:r>
        <w:rPr>
          <w:rFonts w:eastAsia="等线" w:ascii="Arial" w:cs="Arial" w:hAnsi="Arial"/>
          <w:sz w:val="22"/>
        </w:rPr>
        <w:t>: 后端必须有一个</w:t>
      </w:r>
      <w:r>
        <w:rPr>
          <w:rFonts w:eastAsia="等线" w:ascii="Arial" w:cs="Arial" w:hAnsi="Arial"/>
          <w:b w:val="true"/>
          <w:sz w:val="22"/>
        </w:rPr>
        <w:t>每日批处理任务 (Batch Job)</w:t>
      </w:r>
      <w:r>
        <w:rPr>
          <w:rFonts w:eastAsia="等线" w:ascii="Arial" w:cs="Arial" w:hAnsi="Arial"/>
          <w:sz w:val="22"/>
        </w:rPr>
        <w:t xml:space="preserve">，按所有已定义的群体分层（如 </w:t>
      </w:r>
      <w:r>
        <w:rPr>
          <w:rFonts w:eastAsia="Consolas" w:ascii="Consolas" w:cs="Consolas" w:hAnsi="Consolas"/>
          <w:sz w:val="22"/>
          <w:shd w:fill="EFF0F1"/>
        </w:rPr>
        <w:t>[40-59, Male, has_hypertension]</w:t>
      </w:r>
      <w:r>
        <w:rPr>
          <w:rFonts w:eastAsia="等线" w:ascii="Arial" w:cs="Arial" w:hAnsi="Arial"/>
          <w:sz w:val="22"/>
        </w:rPr>
        <w:t>)，预先计算好各指标的均值、标准差和分位数分布（如 P10, P25, P50, P75, P90）。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存储</w:t>
      </w:r>
      <w:r>
        <w:rPr>
          <w:rFonts w:eastAsia="等线" w:ascii="Arial" w:cs="Arial" w:hAnsi="Arial"/>
          <w:sz w:val="22"/>
        </w:rPr>
        <w:t>: 将这些聚合的群体统计数据存入一个专门的分析结果表，供API实时查询，确保详情页加载速度。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7.4 置信与阈值（可配置）</w:t>
      </w:r>
      <w:bookmarkEnd w:id="19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初始阈值：|z|≥2（显著），1.5–2（可疑）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报警灵敏度与误报权衡将在 A/B 测试中优化。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7.5 异常值与数据质量处理</w:t>
      </w:r>
      <w:bookmarkEnd w:id="20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若日样本量 &lt; 3 次，标注“数据不足”并不触发预警。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若设备标识频繁变化或数据间隔异常（如一天一条，30 天仅 3 条），提示“观测频率低，结果可靠度下降”。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7.6 冷启动与数据稀疏性策略 (Cold Start &amp; Sparsity Handling)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这是确保新用户和低频用户体验的关键，必须精细化处理。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状态一: 冷启动期 (有效测量天数 &lt; 7天)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UI/UX</w:t>
      </w:r>
      <w:r>
        <w:rPr>
          <w:rFonts w:eastAsia="等线" w:ascii="Arial" w:cs="Arial" w:hAnsi="Arial"/>
          <w:sz w:val="22"/>
        </w:rPr>
        <w:t>: 差异报告入口将展示一个特定的“数据收集中”状态卡片。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文案</w:t>
      </w:r>
      <w:r>
        <w:rPr>
          <w:rFonts w:eastAsia="等线" w:ascii="Arial" w:cs="Arial" w:hAnsi="Arial"/>
          <w:sz w:val="22"/>
        </w:rPr>
        <w:t>: "再坚持测量 {7-N} 天，即可解锁您的个人健康趋势报告！"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: 不进行任何个人时间差异计算。如果用户已授权，可仅展示其单次数据与群体均值的对比。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状态二: 数据稀疏期 (有效测量天数 ≥ 7天 且 &lt; 30天)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UI/UX</w:t>
      </w:r>
      <w:r>
        <w:rPr>
          <w:rFonts w:eastAsia="等线" w:ascii="Arial" w:cs="Arial" w:hAnsi="Arial"/>
          <w:sz w:val="22"/>
        </w:rPr>
        <w:t>: 所有图表和结论旁边，展示一个信息图标(i)，悬停或点击后提示：“当前结论基于有限数据得出，会随着数据积累变得更加精准。”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API响应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flag</w:t>
      </w:r>
      <w:r>
        <w:rPr>
          <w:rFonts w:eastAsia="等线" w:ascii="Arial" w:cs="Arial" w:hAnsi="Arial"/>
          <w:sz w:val="22"/>
        </w:rPr>
        <w:t xml:space="preserve"> 字段中应包含状态，如 </w:t>
      </w:r>
      <w:r>
        <w:rPr>
          <w:rFonts w:eastAsia="Consolas" w:ascii="Consolas" w:cs="Consolas" w:hAnsi="Consolas"/>
          <w:sz w:val="22"/>
          <w:shd w:fill="EFF0F1"/>
        </w:rPr>
        <w:t>suspicious_preliminary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文本结论</w:t>
      </w:r>
      <w:r>
        <w:rPr>
          <w:rFonts w:eastAsia="等线" w:ascii="Arial" w:cs="Arial" w:hAnsi="Arial"/>
          <w:sz w:val="22"/>
        </w:rPr>
        <w:t>: 所有自动生成的文本结论，必须前置或后置 “(初步结论)” 或 “(基于当前数据)” 等限定词。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医疗与法律合规 (P0 Risk Mitigation)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此为</w:t>
      </w:r>
      <w:r>
        <w:rPr>
          <w:rFonts w:eastAsia="等线" w:ascii="Arial" w:cs="Arial" w:hAnsi="Arial"/>
          <w:b w:val="true"/>
          <w:sz w:val="22"/>
        </w:rPr>
        <w:t>发布前置的门禁要求 (Gatekeeping Requirement)</w:t>
      </w:r>
      <w:r>
        <w:rPr>
          <w:rFonts w:eastAsia="等线" w:ascii="Arial" w:cs="Arial" w:hAnsi="Arial"/>
          <w:sz w:val="22"/>
        </w:rPr>
        <w:t>，任何环节的疏漏都可能导致项目被叫停。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8.1 风险定性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核心风险是本App的功能被监管机构定义为</w:t>
      </w:r>
      <w:r>
        <w:rPr>
          <w:rFonts w:eastAsia="等线" w:ascii="Arial" w:cs="Arial" w:hAnsi="Arial"/>
          <w:b w:val="true"/>
          <w:sz w:val="22"/>
        </w:rPr>
        <w:t>软件即医疗器械 (SaMD)</w:t>
      </w:r>
      <w:r>
        <w:rPr>
          <w:rFonts w:eastAsia="等线" w:ascii="Arial" w:cs="Arial" w:hAnsi="Arial"/>
          <w:sz w:val="22"/>
        </w:rPr>
        <w:t>，而我们未取得相应资质，将导致应用下架、罚款等严重后果。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8.2 强制缓解措施 (Mandatory Actions)</w:t>
      </w:r>
      <w:bookmarkEnd w:id="24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法律审查签字 (Legal Sign-off)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责任人</w:t>
      </w:r>
      <w:r>
        <w:rPr>
          <w:rFonts w:eastAsia="等线" w:ascii="Arial" w:cs="Arial" w:hAnsi="Arial"/>
          <w:sz w:val="22"/>
        </w:rPr>
        <w:t>: PM、法务。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: 所有用户可见的文本（UI界面、推送、分享文案、免责声明）必须形成最终版本，并获得法务部门</w:t>
      </w:r>
      <w:r>
        <w:rPr>
          <w:rFonts w:eastAsia="等线" w:ascii="Arial" w:cs="Arial" w:hAnsi="Arial"/>
          <w:b w:val="true"/>
          <w:sz w:val="22"/>
        </w:rPr>
        <w:t>书面形式的审核与同意</w:t>
      </w:r>
      <w:r>
        <w:rPr>
          <w:rFonts w:eastAsia="等线" w:ascii="Arial" w:cs="Arial" w:hAnsi="Arial"/>
          <w:sz w:val="22"/>
        </w:rPr>
        <w:t>后，方可进入开发。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应用内免责协议 (In-App Disclaimer)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: 用户首次点击进入“数据差异探索”功能的任何页面。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: 强制性、不可跳过的模态弹窗。用户必须**手动勾选“我已阅读并同意”**后，“开始使用”按钮才可点击。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: 必须明确声明“本功能提供的数据和分析仅为健康参考，不能替代执业医师的专业诊断和治疗建议。如有任何不适，请立即就医。”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词汇治理与执行 (Vocabulary Governance)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责任人</w:t>
      </w:r>
      <w:r>
        <w:rPr>
          <w:rFonts w:eastAsia="等线" w:ascii="Arial" w:cs="Arial" w:hAnsi="Arial"/>
          <w:sz w:val="22"/>
        </w:rPr>
        <w:t>: PM、设计、QA。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: 建立并维护一个项目共享的“禁用/慎用词汇表”（见附录）。QA团队的测试用例中必须包含**“文案合规性检查”**，逐字核对界面是否存在禁用词。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数据匿名化 (Data De-identification)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责任人</w:t>
      </w:r>
      <w:r>
        <w:rPr>
          <w:rFonts w:eastAsia="等线" w:ascii="Arial" w:cs="Arial" w:hAnsi="Arial"/>
          <w:sz w:val="22"/>
        </w:rPr>
        <w:t>: 数据工程、后端。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: 用于群体对比分析的数据管道，其输入源必须是经过</w:t>
      </w:r>
      <w:r>
        <w:rPr>
          <w:rFonts w:eastAsia="等线" w:ascii="Arial" w:cs="Arial" w:hAnsi="Arial"/>
          <w:b w:val="true"/>
          <w:sz w:val="22"/>
        </w:rPr>
        <w:t>完全去标识化</w:t>
      </w:r>
      <w:r>
        <w:rPr>
          <w:rFonts w:eastAsia="等线" w:ascii="Arial" w:cs="Arial" w:hAnsi="Arial"/>
          <w:sz w:val="22"/>
        </w:rPr>
        <w:t>处理的数据集。任何个人身份信息（姓名、手机号、设备ID等）不得出现在计算过程中。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埋点与数据看板（Analytics）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数据是本功能迭代的血液，必须从第一天就建立完善的度量体系。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必装埋点（优先 6 个）</w:t>
      </w:r>
      <w:r>
        <w:rPr>
          <w:rFonts w:eastAsia="等线" w:ascii="Arial" w:cs="Arial" w:hAnsi="Arial"/>
          <w:b w:val="true"/>
          <w:sz w:val="28"/>
        </w:rPr>
        <w:t>：</w:t>
      </w:r>
      <w:bookmarkEnd w:id="26"/>
    </w:p>
    <w:p>
      <w:pPr>
        <w:spacing w:before="120" w:after="120" w:line="288" w:lineRule="auto"/>
        <w:ind w:left="0"/>
      </w:pPr>
      <w:r>
        <w:object>
          <v:shape id="_x0000_i1027" style="width:414pt;height:179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看板视图</w:t>
      </w:r>
      <w:r>
        <w:rPr>
          <w:rFonts w:eastAsia="等线" w:ascii="Arial" w:cs="Arial" w:hAnsi="Arial"/>
          <w:b w:val="true"/>
          <w:sz w:val="28"/>
        </w:rPr>
        <w:t>（BI）：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BI看板需至少包含以下四个主题视图：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核心转化漏斗看板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漏斗路径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首页卡片曝光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卡片点击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详情页浏览</w:t>
      </w:r>
      <w:r>
        <w:rPr>
          <w:rFonts w:eastAsia="等线" w:ascii="Arial" w:cs="Arial" w:hAnsi="Arial"/>
          <w:sz w:val="22"/>
        </w:rPr>
        <w:t xml:space="preserve"> → (</w:t>
      </w:r>
      <w:r>
        <w:rPr>
          <w:rFonts w:eastAsia="Consolas" w:ascii="Consolas" w:cs="Consolas" w:hAnsi="Consolas"/>
          <w:sz w:val="22"/>
          <w:shd w:fill="EFF0F1"/>
        </w:rPr>
        <w:t>分享点击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医生申请点击</w:t>
      </w:r>
      <w:r>
        <w:rPr>
          <w:rFonts w:eastAsia="等线" w:ascii="Arial" w:cs="Arial" w:hAnsi="Arial"/>
          <w:sz w:val="22"/>
        </w:rPr>
        <w:t xml:space="preserve">) → </w:t>
      </w:r>
      <w:r>
        <w:rPr>
          <w:rFonts w:eastAsia="Consolas" w:ascii="Consolas" w:cs="Consolas" w:hAnsi="Consolas"/>
          <w:sz w:val="22"/>
          <w:shd w:fill="EFF0F1"/>
        </w:rPr>
        <w:t>付费转化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指标</w:t>
      </w:r>
      <w:r>
        <w:rPr>
          <w:rFonts w:eastAsia="等线" w:ascii="Arial" w:cs="Arial" w:hAnsi="Arial"/>
          <w:sz w:val="22"/>
        </w:rPr>
        <w:t>: 各步骤的转化率、流失率，并支持按用户分层（新/老、年龄段）下钻。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功能健康度看板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: 使用本功能的DAU/MAU、功能渗透率、人均每日查看报告次数、事件标签功能使用率、分享成功率。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图表</w:t>
      </w:r>
      <w:r>
        <w:rPr>
          <w:rFonts w:eastAsia="等线" w:ascii="Arial" w:cs="Arial" w:hAnsi="Arial"/>
          <w:sz w:val="22"/>
        </w:rPr>
        <w:t>: DAU趋势图、新老用户占比饼图。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算法质量监控看板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指标</w:t>
      </w:r>
      <w:r>
        <w:rPr>
          <w:rFonts w:eastAsia="等线" w:ascii="Arial" w:cs="Arial" w:hAnsi="Arial"/>
          <w:sz w:val="22"/>
        </w:rPr>
        <w:t>:每日总预警数、人均预警数、预警点击率(CTR)、不同</w:t>
      </w:r>
      <w:r>
        <w:rPr>
          <w:rFonts w:eastAsia="Consolas" w:ascii="Consolas" w:cs="Consolas" w:hAnsi="Consolas"/>
          <w:sz w:val="22"/>
          <w:shd w:fill="EFF0F1"/>
        </w:rPr>
        <w:t>flag_result</w:t>
      </w:r>
      <w:r>
        <w:rPr>
          <w:rFonts w:eastAsia="等线" w:ascii="Arial" w:cs="Arial" w:hAnsi="Arial"/>
          <w:sz w:val="22"/>
        </w:rPr>
        <w:t>的分布情况。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需人工标注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预警误报率</w:t>
      </w:r>
      <w:r>
        <w:rPr>
          <w:rFonts w:eastAsia="等线" w:ascii="Arial" w:cs="Arial" w:hAnsi="Arial"/>
          <w:sz w:val="22"/>
        </w:rPr>
        <w:t>（通过医生抽样或用户反馈进行标记）。这是算法迭代的关键输入。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护栏指标与用户反馈看板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指标</w:t>
      </w:r>
      <w:r>
        <w:rPr>
          <w:rFonts w:eastAsia="等线" w:ascii="Arial" w:cs="Arial" w:hAnsi="Arial"/>
          <w:sz w:val="22"/>
        </w:rPr>
        <w:t>: 每日客服咨询量中与“差异报告”相关的工单数、应用商店及反馈渠道的负面关键词词云（焦虑、不准等）。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对比</w:t>
      </w:r>
      <w:r>
        <w:rPr>
          <w:rFonts w:eastAsia="等线" w:ascii="Arial" w:cs="Arial" w:hAnsi="Arial"/>
          <w:sz w:val="22"/>
        </w:rPr>
        <w:t>: 与全站基线对比，监控是否有异常波动。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技术 &amp; API 设计（Contract）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9.1 后端服务（建议）</w:t>
      </w:r>
      <w:bookmarkEnd w:id="29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服务名：</w:t>
      </w:r>
      <w:r>
        <w:rPr>
          <w:rFonts w:eastAsia="Consolas" w:ascii="Consolas" w:cs="Consolas" w:hAnsi="Consolas"/>
          <w:sz w:val="22"/>
          <w:shd w:fill="EFF0F1"/>
        </w:rPr>
        <w:t>diff-service</w:t>
      </w:r>
      <w:r>
        <w:rPr>
          <w:rFonts w:eastAsia="等线" w:ascii="Arial" w:cs="Arial" w:hAnsi="Arial"/>
          <w:sz w:val="22"/>
        </w:rPr>
        <w:t>（REST / gRPC）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两条核心能力：</w:t>
      </w:r>
      <w:r>
        <w:rPr>
          <w:rFonts w:eastAsia="Consolas" w:ascii="Consolas" w:cs="Consolas" w:hAnsi="Consolas"/>
          <w:sz w:val="22"/>
          <w:shd w:fill="EFF0F1"/>
        </w:rPr>
        <w:t>/report/generate</w:t>
      </w:r>
      <w:r>
        <w:rPr>
          <w:rFonts w:eastAsia="等线" w:ascii="Arial" w:cs="Arial" w:hAnsi="Arial"/>
          <w:sz w:val="22"/>
        </w:rPr>
        <w:t xml:space="preserve">（实时生成报告） &amp; </w:t>
      </w:r>
      <w:r>
        <w:rPr>
          <w:rFonts w:eastAsia="Consolas" w:ascii="Consolas" w:cs="Consolas" w:hAnsi="Consolas"/>
          <w:sz w:val="22"/>
          <w:shd w:fill="EFF0F1"/>
        </w:rPr>
        <w:t>/report/batch</w:t>
      </w:r>
      <w:r>
        <w:rPr>
          <w:rFonts w:eastAsia="等线" w:ascii="Arial" w:cs="Arial" w:hAnsi="Arial"/>
          <w:sz w:val="22"/>
        </w:rPr>
        <w:t>（按计划批处理）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9.2 API 示例（简化）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</w:t>
      </w:r>
      <w:r>
        <w:rPr>
          <w:rFonts w:eastAsia="等线" w:ascii="Arial" w:cs="Arial" w:hAnsi="Arial"/>
          <w:sz w:val="22"/>
        </w:rPr>
        <w:t xml:space="preserve">（POST </w:t>
      </w:r>
      <w:r>
        <w:rPr>
          <w:rFonts w:eastAsia="Consolas" w:ascii="Consolas" w:cs="Consolas" w:hAnsi="Consolas"/>
          <w:sz w:val="22"/>
          <w:shd w:fill="EFF0F1"/>
        </w:rPr>
        <w:t>/api/v1/diff/report/generate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"user_id": 12345,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"metrics": ["avg_hr", "hrv", "sbp"],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"baseline_days": 30,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"recent_days": 7,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"cohort": {"age_range":"40-59","sex":"F","has_history":true}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"user_id": 12345,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"generated_at": "2025-09-22T08:00:00Z",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"reports": 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"metric":"avg_hr",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"baseline_mean":72,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"baseline_std":4.5,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"recent_mean":78,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"z_score":1.33,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"flag":"suspicious",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"text_summary":"最近7天平均心率比过去30天高8%，属于可疑升高，建议..."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"cohort_percentile": 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9.3 存储与计算</w:t>
      </w:r>
      <w:bookmarkEnd w:id="31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使用现有数据湖 / timeseries table（如 </w:t>
      </w:r>
      <w:r>
        <w:rPr>
          <w:rFonts w:eastAsia="Consolas" w:ascii="Consolas" w:cs="Consolas" w:hAnsi="Consolas"/>
          <w:sz w:val="22"/>
          <w:shd w:fill="EFF0F1"/>
        </w:rPr>
        <w:t>ecg_daily_metrics</w:t>
      </w:r>
      <w:r>
        <w:rPr>
          <w:rFonts w:eastAsia="等线" w:ascii="Arial" w:cs="Arial" w:hAnsi="Arial"/>
          <w:sz w:val="22"/>
        </w:rPr>
        <w:t>）做日粒度聚合。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实时请求从 cache（最近 30 天数据）读取，批量任务做每天夜间更新聚合供 BI 使用。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批次生成的报告写入 </w:t>
      </w:r>
      <w:r>
        <w:rPr>
          <w:rFonts w:eastAsia="Consolas" w:ascii="Consolas" w:cs="Consolas" w:hAnsi="Consolas"/>
          <w:sz w:val="22"/>
          <w:shd w:fill="EFF0F1"/>
        </w:rPr>
        <w:t>user_diff_reports</w:t>
      </w:r>
      <w:r>
        <w:rPr>
          <w:rFonts w:eastAsia="等线" w:ascii="Arial" w:cs="Arial" w:hAnsi="Arial"/>
          <w:sz w:val="22"/>
        </w:rPr>
        <w:t xml:space="preserve"> 表（便于历史回溯与审计）。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数据库示例（简化 schema）</w:t>
      </w:r>
      <w:bookmarkEnd w:id="32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ecg_daily_metrics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avg_hr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hrv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af_label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device_id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bp_daily_metrics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systolic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diastolic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device_id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user_diff_reports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report_id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metric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baseline_mean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baseline_std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recent_mean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z_score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flag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generated_at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report_json</w:t>
      </w:r>
      <w:r>
        <w:rPr>
          <w:rFonts w:eastAsia="等线" w:ascii="Arial" w:cs="Arial" w:hAnsi="Arial"/>
          <w:sz w:val="22"/>
        </w:rPr>
        <w:t>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UI / 交互流程（Screen Flow）</w:t>
      </w:r>
      <w:bookmarkEnd w:id="33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：首页 Banner / 心电详情页 “查看我的差异报告” → 点击。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差异总览</w:t>
      </w:r>
      <w:r>
        <w:rPr>
          <w:rFonts w:eastAsia="等线" w:ascii="Arial" w:cs="Arial" w:hAnsi="Arial"/>
          <w:sz w:val="22"/>
        </w:rPr>
        <w:t>：提示是否加入群体对比（opt-in），展示总体健康卡。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详情页</w:t>
      </w:r>
      <w:r>
        <w:rPr>
          <w:rFonts w:eastAsia="等线" w:ascii="Arial" w:cs="Arial" w:hAnsi="Arial"/>
          <w:sz w:val="22"/>
        </w:rPr>
        <w:t>：上部图表（本人曲线 + 群体均值带），中部文本结论与操作按钮（复测/预约/分享），底部历史报告列表。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：点“申请医生复核” → 填写简短问题 → 提交（生成病例卡片）。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（为设计同学同时提供文案示例，见附录）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13. </w:t>
      </w:r>
      <w:r>
        <w:rPr>
          <w:rFonts w:eastAsia="等线" w:ascii="Arial" w:cs="Arial" w:hAnsi="Arial"/>
          <w:b w:val="true"/>
          <w:sz w:val="30"/>
        </w:rPr>
        <w:t>QA 与验收标准（Acceptance Criteria）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功能验收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差异详情页能在 99% 的请求中 ≤ 1.5s 返回（缓存或预计算）。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报告生成逻辑对 1000 个样本批测，统计计算结果与样本手工计算一致率 ≥ 99%。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banner 点击到详细页的路径可追踪埋点且数据能上链到 BI。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性能/可靠性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夜间批处理（全量）能在 2 小时内完成（示例阈值，视数据量调整）。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系统在用户量峰值时仍能维持 P95 响应 &lt; 2s。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业务验收（示例）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首批 A/B 测试组中（10k 用户）差异报告暴露后 14 天内次日留存较对照组提升 ≥ 8%。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人工抽样 200 个预警条目中，医生认为合理/可行动占比 ≥ 80%。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14. </w:t>
      </w:r>
      <w:r>
        <w:rPr>
          <w:rFonts w:eastAsia="等线" w:ascii="Arial" w:cs="Arial" w:hAnsi="Arial"/>
          <w:b w:val="true"/>
          <w:sz w:val="30"/>
        </w:rPr>
        <w:t>资源与角色（建议）</w:t>
      </w:r>
      <w:bookmarkEnd w:id="35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产品（PM）1（负责人）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1（APP） + 设计 1（视觉/交互）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1（服务与 API） + 数据工程 1（聚合 pipeline）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ML/统计工程 1（算法实现与阈值验证）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1（自动化/功能测试）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医学顾问 1（兼职，抽样判定）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BD/运营 1（推广与 Banner）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15. </w:t>
      </w:r>
      <w:r>
        <w:rPr>
          <w:rFonts w:eastAsia="等线" w:ascii="Arial" w:cs="Arial" w:hAnsi="Arial"/>
          <w:b w:val="true"/>
          <w:sz w:val="30"/>
        </w:rPr>
        <w:t>风险 &amp; 缓解措施</w:t>
      </w:r>
      <w:bookmarkEnd w:id="36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误报/漏报导致用户焦虑</w:t>
      </w:r>
      <w:r>
        <w:rPr>
          <w:rFonts w:eastAsia="等线" w:ascii="Arial" w:cs="Arial" w:hAnsi="Arial"/>
          <w:sz w:val="22"/>
        </w:rPr>
        <w:t xml:space="preserve"> → 缓解：保守阈值、文本友好（非诊断语言）、医生复核入口、人工抽检反馈回路。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数据稀疏影响结果信度</w:t>
      </w:r>
      <w:r>
        <w:rPr>
          <w:rFonts w:eastAsia="等线" w:ascii="Arial" w:cs="Arial" w:hAnsi="Arial"/>
          <w:sz w:val="22"/>
        </w:rPr>
        <w:t xml:space="preserve"> → 缓解：数据质量提示、最低样本数阈值、不足时不触发预警。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隐私/合规风险（群体对比）</w:t>
      </w:r>
      <w:r>
        <w:rPr>
          <w:rFonts w:eastAsia="等线" w:ascii="Arial" w:cs="Arial" w:hAnsi="Arial"/>
          <w:sz w:val="22"/>
        </w:rPr>
        <w:t xml:space="preserve"> → 缓解：默认不加入群体对比；对比数据仅汇总且匿名，收集明确同意。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性能瓶颈（实时计算）</w:t>
      </w:r>
      <w:r>
        <w:rPr>
          <w:rFonts w:eastAsia="等线" w:ascii="Arial" w:cs="Arial" w:hAnsi="Arial"/>
          <w:sz w:val="22"/>
        </w:rPr>
        <w:t xml:space="preserve"> → 缓解：夜间批量预计算 + 热用户缓存 + 限流策略。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16. </w:t>
      </w:r>
      <w:r>
        <w:rPr>
          <w:rFonts w:eastAsia="等线" w:ascii="Arial" w:cs="Arial" w:hAnsi="Arial"/>
          <w:b w:val="true"/>
          <w:sz w:val="30"/>
        </w:rPr>
        <w:t>典型文案（供设计/运营使用）</w:t>
      </w:r>
      <w:bookmarkEnd w:id="37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Banner 标题</w:t>
      </w:r>
      <w:r>
        <w:rPr>
          <w:rFonts w:eastAsia="等线" w:ascii="Arial" w:cs="Arial" w:hAnsi="Arial"/>
          <w:sz w:val="22"/>
        </w:rPr>
        <w:t>：今天的心电与过去 30 天比，有变化吗？点击查看你的差异报告。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差异卡片短句</w:t>
      </w:r>
      <w:r>
        <w:rPr>
          <w:rFonts w:eastAsia="等线" w:ascii="Arial" w:cs="Arial" w:hAnsi="Arial"/>
          <w:sz w:val="22"/>
        </w:rPr>
        <w:t>：近期心率“轻度偏高”／“与同龄人相比偏低”，建议：观察 / 复测 / 预约医生。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预警通知模板</w:t>
      </w:r>
      <w:r>
        <w:rPr>
          <w:rFonts w:eastAsia="等线" w:ascii="Arial" w:cs="Arial" w:hAnsi="Arial"/>
          <w:sz w:val="22"/>
        </w:rPr>
        <w:t>：系统检测到您近 3 天平均心率显著上升（+12%）；如有不适，请尽快复测或预约医生。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17. </w:t>
      </w:r>
      <w:r>
        <w:rPr>
          <w:rFonts w:eastAsia="等线" w:ascii="Arial" w:cs="Arial" w:hAnsi="Arial"/>
          <w:b w:val="true"/>
          <w:sz w:val="30"/>
        </w:rPr>
        <w:t>附录：示例 SQL（计算基线 &amp; z-score，示例用于数据工程参考）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假设 ecg_daily_metrics(user_id, date, avg_hr)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 base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user_id,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AVG(avg_hr) FILTER (WHERE date &gt;= current_date - interval '30 days') AS baseline_mean,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STDDEV_SAMP(avg_hr) FILTER (WHERE date &gt;= current_date - interval '30 days') AS baseline_std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ecg_daily_metrics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user_id = 12345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GROUP BY user_id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recent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AVG(avg_hr) AS recent_mean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ecg_daily_metrics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user_id = 12345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AND date &gt;= current_date - interval '7 days'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b.user_id,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b.baseline_mean,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b.baseline_std,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r.recent_mean,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CASE WHEN b.baseline_std IS NULL OR b.baseline_std = 0 THEN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ELSE (r.recent_mean - b.baseline_mean) / b.baseline_std END AS z_score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base b CROSS JOIN recent r;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备注：生产环节需处理空值、样本数不足（基线至少 7 天）和极端数值。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18. </w:t>
      </w:r>
      <w:r>
        <w:rPr>
          <w:rFonts w:eastAsia="等线" w:ascii="Arial" w:cs="Arial" w:hAnsi="Arial"/>
          <w:b w:val="true"/>
          <w:sz w:val="30"/>
        </w:rPr>
        <w:t>下一步（本周马上要做的 5 件事）</w:t>
      </w:r>
      <w:bookmarkEnd w:id="39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成立跨职能小组并确认负责人与周会节奏。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数据工程完成 </w:t>
      </w:r>
      <w:r>
        <w:rPr>
          <w:rFonts w:eastAsia="Consolas" w:ascii="Consolas" w:cs="Consolas" w:hAnsi="Consolas"/>
          <w:sz w:val="22"/>
          <w:shd w:fill="EFF0F1"/>
        </w:rPr>
        <w:t>ecg_daily_metrics</w:t>
      </w:r>
      <w:r>
        <w:rPr>
          <w:rFonts w:eastAsia="等线" w:ascii="Arial" w:cs="Arial" w:hAnsi="Arial"/>
          <w:sz w:val="22"/>
        </w:rPr>
        <w:t xml:space="preserve"> 的日聚合并跑通示例 SQL。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设计高保真差异详情页（含分享图样式）。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后端搭建 </w:t>
      </w:r>
      <w:r>
        <w:rPr>
          <w:rFonts w:eastAsia="Consolas" w:ascii="Consolas" w:cs="Consolas" w:hAnsi="Consolas"/>
          <w:sz w:val="22"/>
          <w:shd w:fill="EFF0F1"/>
        </w:rPr>
        <w:t>/report/generate</w:t>
      </w:r>
      <w:r>
        <w:rPr>
          <w:rFonts w:eastAsia="等线" w:ascii="Arial" w:cs="Arial" w:hAnsi="Arial"/>
          <w:sz w:val="22"/>
        </w:rPr>
        <w:t xml:space="preserve"> 的最小实现并联调。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埋点清单上线（前端埋点 + BI 仪表板初版）。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19. </w:t>
      </w:r>
      <w:r>
        <w:rPr>
          <w:rFonts w:eastAsia="等线" w:ascii="Arial" w:cs="Arial" w:hAnsi="Arial"/>
          <w:b w:val="true"/>
          <w:sz w:val="30"/>
        </w:rPr>
        <w:t>上线计划与里程碑 (Rollout Plan &amp; Milestones)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采用敏捷开发和分阶段发布的策略，确保风险可控，快速验证。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B. 禁用词汇表示例 (Forbidden Vocabulary - Partial List)</w:t>
      </w:r>
      <w:bookmarkEnd w:id="41"/>
    </w:p>
    <w:p>
      <w:pPr>
        <w:spacing w:before="120" w:after="120" w:line="288" w:lineRule="auto"/>
        <w:ind w:left="0"/>
      </w:pPr>
      <w:r>
        <w:object>
          <v:shape id="_x0000_i1029" style="width:414pt;height:96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结语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 的“数据差异探索”要实现的是「可解释、可行动、易传播」——以最小可行的统计方法提供可信的个体内变化与人群对比，并且把“看懂结果后要做什么”做清楚（复测/复核/付费服务）。完成本 MVP 后，接下来的 3–6 个月可把差异信号纳入更复杂的风控/风险评分与</w:t>
      </w:r>
      <w:r>
        <w:rPr>
          <w:rFonts w:eastAsia="等线" w:ascii="Arial" w:cs="Arial" w:hAnsi="Arial"/>
          <w:color w:val="6425d0"/>
          <w:sz w:val="22"/>
        </w:rPr>
        <w:t xml:space="preserve"> B2B 医疗场景（医生平台、保险合作）</w:t>
      </w:r>
      <w:r>
        <w:rPr>
          <w:rFonts w:eastAsia="等线" w:ascii="Arial" w:cs="Arial" w:hAnsi="Arial"/>
          <w:sz w:val="22"/>
        </w:rPr>
        <w:t>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06729">
    <w:lvl>
      <w:start w:val="1"/>
      <w:numFmt w:val="decimal"/>
      <w:suff w:val="tab"/>
      <w:lvlText w:val="%1."/>
      <w:rPr>
        <w:color w:val="3370ff"/>
      </w:rPr>
    </w:lvl>
  </w:abstractNum>
  <w:abstractNum w:abstractNumId="606730">
    <w:lvl>
      <w:start w:val="2"/>
      <w:numFmt w:val="decimal"/>
      <w:suff w:val="tab"/>
      <w:lvlText w:val="%1."/>
      <w:rPr>
        <w:color w:val="3370ff"/>
      </w:rPr>
    </w:lvl>
  </w:abstractNum>
  <w:abstractNum w:abstractNumId="606731">
    <w:lvl>
      <w:start w:val="1"/>
      <w:numFmt w:val="decimal"/>
      <w:suff w:val="tab"/>
      <w:lvlText w:val="%1."/>
      <w:rPr>
        <w:color w:val="3370ff"/>
      </w:rPr>
    </w:lvl>
  </w:abstractNum>
  <w:abstractNum w:abstractNumId="606732">
    <w:lvl>
      <w:start w:val="2"/>
      <w:numFmt w:val="decimal"/>
      <w:suff w:val="tab"/>
      <w:lvlText w:val="%1."/>
      <w:rPr>
        <w:color w:val="3370ff"/>
      </w:rPr>
    </w:lvl>
  </w:abstractNum>
  <w:abstractNum w:abstractNumId="606733">
    <w:lvl>
      <w:start w:val="3"/>
      <w:numFmt w:val="decimal"/>
      <w:suff w:val="tab"/>
      <w:lvlText w:val="%1."/>
      <w:rPr>
        <w:color w:val="3370ff"/>
      </w:rPr>
    </w:lvl>
  </w:abstractNum>
  <w:abstractNum w:abstractNumId="606734">
    <w:lvl>
      <w:numFmt w:val="bullet"/>
      <w:suff w:val="tab"/>
      <w:lvlText w:val="•"/>
      <w:rPr>
        <w:color w:val="3370ff"/>
      </w:rPr>
    </w:lvl>
  </w:abstractNum>
  <w:abstractNum w:abstractNumId="606735">
    <w:lvl>
      <w:numFmt w:val="bullet"/>
      <w:suff w:val="tab"/>
      <w:lvlText w:val="￮"/>
      <w:rPr>
        <w:color w:val="3370ff"/>
      </w:rPr>
    </w:lvl>
  </w:abstractNum>
  <w:abstractNum w:abstractNumId="606736">
    <w:lvl>
      <w:numFmt w:val="bullet"/>
      <w:suff w:val="tab"/>
      <w:lvlText w:val="￮"/>
      <w:rPr>
        <w:color w:val="3370ff"/>
      </w:rPr>
    </w:lvl>
  </w:abstractNum>
  <w:abstractNum w:abstractNumId="606737">
    <w:lvl>
      <w:numFmt w:val="bullet"/>
      <w:suff w:val="tab"/>
      <w:lvlText w:val="￮"/>
      <w:rPr>
        <w:color w:val="3370ff"/>
      </w:rPr>
    </w:lvl>
  </w:abstractNum>
  <w:abstractNum w:abstractNumId="606738">
    <w:lvl>
      <w:numFmt w:val="bullet"/>
      <w:suff w:val="tab"/>
      <w:lvlText w:val="•"/>
      <w:rPr>
        <w:color w:val="3370ff"/>
      </w:rPr>
    </w:lvl>
  </w:abstractNum>
  <w:abstractNum w:abstractNumId="606739">
    <w:lvl>
      <w:numFmt w:val="bullet"/>
      <w:suff w:val="tab"/>
      <w:lvlText w:val="￮"/>
      <w:rPr>
        <w:color w:val="3370ff"/>
      </w:rPr>
    </w:lvl>
  </w:abstractNum>
  <w:abstractNum w:abstractNumId="606740">
    <w:lvl>
      <w:numFmt w:val="bullet"/>
      <w:suff w:val="tab"/>
      <w:lvlText w:val="￮"/>
      <w:rPr>
        <w:color w:val="3370ff"/>
      </w:rPr>
    </w:lvl>
  </w:abstractNum>
  <w:abstractNum w:abstractNumId="606741">
    <w:lvl>
      <w:numFmt w:val="bullet"/>
      <w:suff w:val="tab"/>
      <w:lvlText w:val="•"/>
      <w:rPr>
        <w:color w:val="3370ff"/>
      </w:rPr>
    </w:lvl>
  </w:abstractNum>
  <w:abstractNum w:abstractNumId="606742">
    <w:lvl>
      <w:numFmt w:val="bullet"/>
      <w:suff w:val="tab"/>
      <w:lvlText w:val="￮"/>
      <w:rPr>
        <w:color w:val="3370ff"/>
      </w:rPr>
    </w:lvl>
  </w:abstractNum>
  <w:abstractNum w:abstractNumId="606743">
    <w:lvl>
      <w:numFmt w:val="bullet"/>
      <w:suff w:val="tab"/>
      <w:lvlText w:val="•"/>
      <w:rPr>
        <w:color w:val="3370ff"/>
      </w:rPr>
    </w:lvl>
  </w:abstractNum>
  <w:abstractNum w:abstractNumId="606744">
    <w:lvl>
      <w:numFmt w:val="bullet"/>
      <w:suff w:val="tab"/>
      <w:lvlText w:val="￮"/>
      <w:rPr>
        <w:color w:val="3370ff"/>
      </w:rPr>
    </w:lvl>
  </w:abstractNum>
  <w:abstractNum w:abstractNumId="606745">
    <w:lvl>
      <w:numFmt w:val="bullet"/>
      <w:suff w:val="tab"/>
      <w:lvlText w:val="￮"/>
      <w:rPr>
        <w:color w:val="3370ff"/>
      </w:rPr>
    </w:lvl>
  </w:abstractNum>
  <w:abstractNum w:abstractNumId="606746">
    <w:lvl>
      <w:numFmt w:val="bullet"/>
      <w:suff w:val="tab"/>
      <w:lvlText w:val="•"/>
      <w:rPr>
        <w:color w:val="3370ff"/>
      </w:rPr>
    </w:lvl>
  </w:abstractNum>
  <w:abstractNum w:abstractNumId="606747">
    <w:lvl>
      <w:numFmt w:val="bullet"/>
      <w:suff w:val="tab"/>
      <w:lvlText w:val="￮"/>
      <w:rPr>
        <w:color w:val="3370ff"/>
      </w:rPr>
    </w:lvl>
  </w:abstractNum>
  <w:abstractNum w:abstractNumId="606748">
    <w:lvl>
      <w:start w:val="1"/>
      <w:numFmt w:val="decimal"/>
      <w:suff w:val="tab"/>
      <w:lvlText w:val="%1."/>
      <w:rPr>
        <w:color w:val="3370ff"/>
      </w:rPr>
    </w:lvl>
  </w:abstractNum>
  <w:abstractNum w:abstractNumId="606749">
    <w:lvl>
      <w:numFmt w:val="bullet"/>
      <w:suff w:val="tab"/>
      <w:lvlText w:val="￮"/>
      <w:rPr>
        <w:color w:val="3370ff"/>
      </w:rPr>
    </w:lvl>
  </w:abstractNum>
  <w:abstractNum w:abstractNumId="606750">
    <w:lvl>
      <w:numFmt w:val="bullet"/>
      <w:suff w:val="tab"/>
      <w:lvlText w:val="￮"/>
      <w:rPr>
        <w:color w:val="3370ff"/>
      </w:rPr>
    </w:lvl>
  </w:abstractNum>
  <w:abstractNum w:abstractNumId="606751">
    <w:lvl>
      <w:start w:val="2"/>
      <w:numFmt w:val="decimal"/>
      <w:suff w:val="tab"/>
      <w:lvlText w:val="%1."/>
      <w:rPr>
        <w:color w:val="3370ff"/>
      </w:rPr>
    </w:lvl>
  </w:abstractNum>
  <w:abstractNum w:abstractNumId="606752">
    <w:lvl>
      <w:numFmt w:val="bullet"/>
      <w:suff w:val="tab"/>
      <w:lvlText w:val="￮"/>
      <w:rPr>
        <w:color w:val="3370ff"/>
      </w:rPr>
    </w:lvl>
  </w:abstractNum>
  <w:abstractNum w:abstractNumId="606753">
    <w:lvl>
      <w:numFmt w:val="bullet"/>
      <w:suff w:val="tab"/>
      <w:lvlText w:val="￮"/>
      <w:rPr>
        <w:color w:val="3370ff"/>
      </w:rPr>
    </w:lvl>
  </w:abstractNum>
  <w:abstractNum w:abstractNumId="606754">
    <w:lvl>
      <w:numFmt w:val="bullet"/>
      <w:suff w:val="tab"/>
      <w:lvlText w:val="￮"/>
      <w:rPr>
        <w:color w:val="3370ff"/>
      </w:rPr>
    </w:lvl>
  </w:abstractNum>
  <w:abstractNum w:abstractNumId="606755">
    <w:lvl>
      <w:start w:val="3"/>
      <w:numFmt w:val="decimal"/>
      <w:suff w:val="tab"/>
      <w:lvlText w:val="%1."/>
      <w:rPr>
        <w:color w:val="3370ff"/>
      </w:rPr>
    </w:lvl>
  </w:abstractNum>
  <w:abstractNum w:abstractNumId="606756">
    <w:lvl>
      <w:numFmt w:val="bullet"/>
      <w:suff w:val="tab"/>
      <w:lvlText w:val="￮"/>
      <w:rPr>
        <w:color w:val="3370ff"/>
      </w:rPr>
    </w:lvl>
  </w:abstractNum>
  <w:abstractNum w:abstractNumId="606757">
    <w:lvl>
      <w:numFmt w:val="bullet"/>
      <w:suff w:val="tab"/>
      <w:lvlText w:val="￮"/>
      <w:rPr>
        <w:color w:val="3370ff"/>
      </w:rPr>
    </w:lvl>
  </w:abstractNum>
  <w:abstractNum w:abstractNumId="606758">
    <w:lvl>
      <w:numFmt w:val="bullet"/>
      <w:suff w:val="tab"/>
      <w:lvlText w:val="￮"/>
      <w:rPr>
        <w:color w:val="3370ff"/>
      </w:rPr>
    </w:lvl>
  </w:abstractNum>
  <w:abstractNum w:abstractNumId="606759">
    <w:lvl>
      <w:start w:val="4"/>
      <w:numFmt w:val="decimal"/>
      <w:suff w:val="tab"/>
      <w:lvlText w:val="%1."/>
      <w:rPr>
        <w:color w:val="3370ff"/>
      </w:rPr>
    </w:lvl>
  </w:abstractNum>
  <w:abstractNum w:abstractNumId="606760">
    <w:lvl>
      <w:numFmt w:val="bullet"/>
      <w:suff w:val="tab"/>
      <w:lvlText w:val="￮"/>
      <w:rPr>
        <w:color w:val="3370ff"/>
      </w:rPr>
    </w:lvl>
  </w:abstractNum>
  <w:abstractNum w:abstractNumId="606761">
    <w:lvl>
      <w:start w:val="5"/>
      <w:numFmt w:val="decimal"/>
      <w:suff w:val="tab"/>
      <w:lvlText w:val="%1."/>
      <w:rPr>
        <w:color w:val="3370ff"/>
      </w:rPr>
    </w:lvl>
  </w:abstractNum>
  <w:abstractNum w:abstractNumId="606762">
    <w:lvl>
      <w:numFmt w:val="bullet"/>
      <w:suff w:val="tab"/>
      <w:lvlText w:val="￮"/>
      <w:rPr>
        <w:color w:val="3370ff"/>
      </w:rPr>
    </w:lvl>
  </w:abstractNum>
  <w:abstractNum w:abstractNumId="606763">
    <w:lvl>
      <w:numFmt w:val="bullet"/>
      <w:suff w:val="tab"/>
      <w:lvlText w:val="￮"/>
      <w:rPr>
        <w:color w:val="3370ff"/>
      </w:rPr>
    </w:lvl>
  </w:abstractNum>
  <w:abstractNum w:abstractNumId="606764">
    <w:lvl>
      <w:start w:val="1"/>
      <w:numFmt w:val="decimal"/>
      <w:suff w:val="tab"/>
      <w:lvlText w:val="%1."/>
      <w:rPr>
        <w:color w:val="3370ff"/>
      </w:rPr>
    </w:lvl>
  </w:abstractNum>
  <w:abstractNum w:abstractNumId="606765">
    <w:lvl>
      <w:start w:val="2"/>
      <w:numFmt w:val="decimal"/>
      <w:suff w:val="tab"/>
      <w:lvlText w:val="%1."/>
      <w:rPr>
        <w:color w:val="3370ff"/>
      </w:rPr>
    </w:lvl>
  </w:abstractNum>
  <w:abstractNum w:abstractNumId="606766">
    <w:lvl>
      <w:start w:val="3"/>
      <w:numFmt w:val="decimal"/>
      <w:suff w:val="tab"/>
      <w:lvlText w:val="%1."/>
      <w:rPr>
        <w:color w:val="3370ff"/>
      </w:rPr>
    </w:lvl>
  </w:abstractNum>
  <w:abstractNum w:abstractNumId="606767">
    <w:lvl>
      <w:start w:val="4"/>
      <w:numFmt w:val="decimal"/>
      <w:suff w:val="tab"/>
      <w:lvlText w:val="%1."/>
      <w:rPr>
        <w:color w:val="3370ff"/>
      </w:rPr>
    </w:lvl>
  </w:abstractNum>
  <w:abstractNum w:abstractNumId="606768">
    <w:lvl>
      <w:start w:val="5"/>
      <w:numFmt w:val="decimal"/>
      <w:suff w:val="tab"/>
      <w:lvlText w:val="%1."/>
      <w:rPr>
        <w:color w:val="3370ff"/>
      </w:rPr>
    </w:lvl>
  </w:abstractNum>
  <w:abstractNum w:abstractNumId="606769">
    <w:lvl>
      <w:numFmt w:val="bullet"/>
      <w:suff w:val="tab"/>
      <w:lvlText w:val="•"/>
      <w:rPr>
        <w:color w:val="3370ff"/>
      </w:rPr>
    </w:lvl>
  </w:abstractNum>
  <w:abstractNum w:abstractNumId="606770">
    <w:lvl>
      <w:numFmt w:val="bullet"/>
      <w:suff w:val="tab"/>
      <w:lvlText w:val="•"/>
      <w:rPr>
        <w:color w:val="3370ff"/>
      </w:rPr>
    </w:lvl>
  </w:abstractNum>
  <w:abstractNum w:abstractNumId="606771">
    <w:lvl>
      <w:numFmt w:val="bullet"/>
      <w:suff w:val="tab"/>
      <w:lvlText w:val="•"/>
      <w:rPr>
        <w:color w:val="3370ff"/>
      </w:rPr>
    </w:lvl>
  </w:abstractNum>
  <w:abstractNum w:abstractNumId="606772">
    <w:lvl>
      <w:numFmt w:val="bullet"/>
      <w:suff w:val="tab"/>
      <w:lvlText w:val="￮"/>
      <w:rPr>
        <w:color w:val="3370ff"/>
      </w:rPr>
    </w:lvl>
  </w:abstractNum>
  <w:abstractNum w:abstractNumId="606773">
    <w:lvl>
      <w:numFmt w:val="bullet"/>
      <w:suff w:val="tab"/>
      <w:lvlText w:val="￮"/>
      <w:rPr>
        <w:color w:val="3370ff"/>
      </w:rPr>
    </w:lvl>
  </w:abstractNum>
  <w:abstractNum w:abstractNumId="606774">
    <w:lvl>
      <w:start w:val="1"/>
      <w:numFmt w:val="lowerRoman"/>
      <w:suff w:val="tab"/>
      <w:lvlText w:val="%1."/>
      <w:rPr>
        <w:color w:val="3370ff"/>
      </w:rPr>
    </w:lvl>
  </w:abstractNum>
  <w:abstractNum w:abstractNumId="606775">
    <w:lvl>
      <w:start w:val="2"/>
      <w:numFmt w:val="lowerRoman"/>
      <w:suff w:val="tab"/>
      <w:lvlText w:val="%1."/>
      <w:rPr>
        <w:color w:val="3370ff"/>
      </w:rPr>
    </w:lvl>
  </w:abstractNum>
  <w:abstractNum w:abstractNumId="606776">
    <w:lvl>
      <w:start w:val="3"/>
      <w:numFmt w:val="lowerRoman"/>
      <w:suff w:val="tab"/>
      <w:lvlText w:val="%1."/>
      <w:rPr>
        <w:color w:val="3370ff"/>
      </w:rPr>
    </w:lvl>
  </w:abstractNum>
  <w:abstractNum w:abstractNumId="606777">
    <w:lvl>
      <w:start w:val="4"/>
      <w:numFmt w:val="lowerRoman"/>
      <w:suff w:val="tab"/>
      <w:lvlText w:val="%1."/>
      <w:rPr>
        <w:color w:val="3370ff"/>
      </w:rPr>
    </w:lvl>
  </w:abstractNum>
  <w:abstractNum w:abstractNumId="606778">
    <w:lvl>
      <w:numFmt w:val="bullet"/>
      <w:suff w:val="tab"/>
      <w:lvlText w:val="￮"/>
      <w:rPr>
        <w:color w:val="3370ff"/>
      </w:rPr>
    </w:lvl>
  </w:abstractNum>
  <w:abstractNum w:abstractNumId="606779">
    <w:lvl>
      <w:numFmt w:val="bullet"/>
      <w:suff w:val="tab"/>
      <w:lvlText w:val="•"/>
      <w:rPr>
        <w:color w:val="3370ff"/>
      </w:rPr>
    </w:lvl>
  </w:abstractNum>
  <w:abstractNum w:abstractNumId="606780">
    <w:lvl>
      <w:numFmt w:val="bullet"/>
      <w:suff w:val="tab"/>
      <w:lvlText w:val="￮"/>
      <w:rPr>
        <w:color w:val="3370ff"/>
      </w:rPr>
    </w:lvl>
  </w:abstractNum>
  <w:abstractNum w:abstractNumId="606781">
    <w:lvl>
      <w:numFmt w:val="bullet"/>
      <w:suff w:val="tab"/>
      <w:lvlText w:val="￮"/>
      <w:rPr>
        <w:color w:val="3370ff"/>
      </w:rPr>
    </w:lvl>
  </w:abstractNum>
  <w:abstractNum w:abstractNumId="606782">
    <w:lvl>
      <w:numFmt w:val="bullet"/>
      <w:suff w:val="tab"/>
      <w:lvlText w:val="•"/>
      <w:rPr>
        <w:color w:val="3370ff"/>
      </w:rPr>
    </w:lvl>
  </w:abstractNum>
  <w:abstractNum w:abstractNumId="606783">
    <w:lvl>
      <w:numFmt w:val="bullet"/>
      <w:suff w:val="tab"/>
      <w:lvlText w:val="•"/>
      <w:rPr>
        <w:color w:val="3370ff"/>
      </w:rPr>
    </w:lvl>
  </w:abstractNum>
  <w:abstractNum w:abstractNumId="606784">
    <w:lvl>
      <w:numFmt w:val="bullet"/>
      <w:suff w:val="tab"/>
      <w:lvlText w:val="•"/>
      <w:rPr>
        <w:color w:val="3370ff"/>
      </w:rPr>
    </w:lvl>
  </w:abstractNum>
  <w:abstractNum w:abstractNumId="606785">
    <w:lvl>
      <w:start w:val="1"/>
      <w:numFmt w:val="lowerLetter"/>
      <w:suff w:val="tab"/>
      <w:lvlText w:val="%1."/>
      <w:rPr>
        <w:color w:val="3370ff"/>
      </w:rPr>
    </w:lvl>
  </w:abstractNum>
  <w:abstractNum w:abstractNumId="606786">
    <w:lvl>
      <w:start w:val="2"/>
      <w:numFmt w:val="lowerLetter"/>
      <w:suff w:val="tab"/>
      <w:lvlText w:val="%1."/>
      <w:rPr>
        <w:color w:val="3370ff"/>
      </w:rPr>
    </w:lvl>
  </w:abstractNum>
  <w:abstractNum w:abstractNumId="606787">
    <w:lvl>
      <w:start w:val="3"/>
      <w:numFmt w:val="lowerLetter"/>
      <w:suff w:val="tab"/>
      <w:lvlText w:val="%1."/>
      <w:rPr>
        <w:color w:val="3370ff"/>
      </w:rPr>
    </w:lvl>
  </w:abstractNum>
  <w:abstractNum w:abstractNumId="606788">
    <w:lvl>
      <w:numFmt w:val="bullet"/>
      <w:suff w:val="tab"/>
      <w:lvlText w:val="▪"/>
      <w:rPr>
        <w:color w:val="3370ff"/>
        <w:sz w:val="11"/>
      </w:rPr>
    </w:lvl>
  </w:abstractNum>
  <w:abstractNum w:abstractNumId="606789">
    <w:lvl>
      <w:numFmt w:val="bullet"/>
      <w:suff w:val="tab"/>
      <w:lvlText w:val="▪"/>
      <w:rPr>
        <w:color w:val="3370ff"/>
        <w:sz w:val="11"/>
      </w:rPr>
    </w:lvl>
  </w:abstractNum>
  <w:abstractNum w:abstractNumId="606790">
    <w:lvl>
      <w:numFmt w:val="bullet"/>
      <w:suff w:val="tab"/>
      <w:lvlText w:val="▪"/>
      <w:rPr>
        <w:color w:val="3370ff"/>
        <w:sz w:val="11"/>
      </w:rPr>
    </w:lvl>
  </w:abstractNum>
  <w:abstractNum w:abstractNumId="606791">
    <w:lvl>
      <w:numFmt w:val="bullet"/>
      <w:suff w:val="tab"/>
      <w:lvlText w:val="▪"/>
      <w:rPr>
        <w:color w:val="3370ff"/>
        <w:sz w:val="11"/>
      </w:rPr>
    </w:lvl>
  </w:abstractNum>
  <w:abstractNum w:abstractNumId="606792">
    <w:lvl>
      <w:start w:val="4"/>
      <w:numFmt w:val="lowerLetter"/>
      <w:suff w:val="tab"/>
      <w:lvlText w:val="%1."/>
      <w:rPr>
        <w:color w:val="3370ff"/>
      </w:rPr>
    </w:lvl>
  </w:abstractNum>
  <w:abstractNum w:abstractNumId="606793">
    <w:lvl>
      <w:numFmt w:val="bullet"/>
      <w:suff w:val="tab"/>
      <w:lvlText w:val="▪"/>
      <w:rPr>
        <w:color w:val="3370ff"/>
        <w:sz w:val="11"/>
      </w:rPr>
    </w:lvl>
  </w:abstractNum>
  <w:abstractNum w:abstractNumId="606794">
    <w:lvl>
      <w:numFmt w:val="bullet"/>
      <w:suff w:val="tab"/>
      <w:lvlText w:val="▪"/>
      <w:rPr>
        <w:color w:val="3370ff"/>
        <w:sz w:val="11"/>
      </w:rPr>
    </w:lvl>
  </w:abstractNum>
  <w:abstractNum w:abstractNumId="606795">
    <w:lvl>
      <w:numFmt w:val="bullet"/>
      <w:suff w:val="tab"/>
      <w:lvlText w:val="▪"/>
      <w:rPr>
        <w:color w:val="3370ff"/>
        <w:sz w:val="11"/>
      </w:rPr>
    </w:lvl>
  </w:abstractNum>
  <w:abstractNum w:abstractNumId="606796">
    <w:lvl>
      <w:numFmt w:val="bullet"/>
      <w:suff w:val="tab"/>
      <w:lvlText w:val="•"/>
      <w:rPr>
        <w:color w:val="3370ff"/>
      </w:rPr>
    </w:lvl>
  </w:abstractNum>
  <w:abstractNum w:abstractNumId="606797">
    <w:lvl>
      <w:numFmt w:val="bullet"/>
      <w:suff w:val="tab"/>
      <w:lvlText w:val="￮"/>
      <w:rPr>
        <w:color w:val="3370ff"/>
      </w:rPr>
    </w:lvl>
  </w:abstractNum>
  <w:abstractNum w:abstractNumId="606798">
    <w:lvl>
      <w:numFmt w:val="bullet"/>
      <w:suff w:val="tab"/>
      <w:lvlText w:val="￮"/>
      <w:rPr>
        <w:color w:val="3370ff"/>
      </w:rPr>
    </w:lvl>
  </w:abstractNum>
  <w:abstractNum w:abstractNumId="606799">
    <w:lvl>
      <w:numFmt w:val="bullet"/>
      <w:suff w:val="tab"/>
      <w:lvlText w:val="•"/>
      <w:rPr>
        <w:color w:val="3370ff"/>
      </w:rPr>
    </w:lvl>
  </w:abstractNum>
  <w:abstractNum w:abstractNumId="606800">
    <w:lvl>
      <w:numFmt w:val="bullet"/>
      <w:suff w:val="tab"/>
      <w:lvlText w:val="•"/>
      <w:rPr>
        <w:color w:val="3370ff"/>
      </w:rPr>
    </w:lvl>
  </w:abstractNum>
  <w:abstractNum w:abstractNumId="606801">
    <w:lvl>
      <w:numFmt w:val="bullet"/>
      <w:suff w:val="tab"/>
      <w:lvlText w:val="•"/>
      <w:rPr>
        <w:color w:val="3370ff"/>
      </w:rPr>
    </w:lvl>
  </w:abstractNum>
  <w:abstractNum w:abstractNumId="606802">
    <w:lvl>
      <w:numFmt w:val="bullet"/>
      <w:suff w:val="tab"/>
      <w:lvlText w:val="•"/>
      <w:rPr>
        <w:color w:val="3370ff"/>
      </w:rPr>
    </w:lvl>
  </w:abstractNum>
  <w:abstractNum w:abstractNumId="606803">
    <w:lvl>
      <w:numFmt w:val="bullet"/>
      <w:suff w:val="tab"/>
      <w:lvlText w:val="￮"/>
      <w:rPr>
        <w:color w:val="3370ff"/>
      </w:rPr>
    </w:lvl>
  </w:abstractNum>
  <w:abstractNum w:abstractNumId="606804">
    <w:lvl>
      <w:numFmt w:val="bullet"/>
      <w:suff w:val="tab"/>
      <w:lvlText w:val="￮"/>
      <w:rPr>
        <w:color w:val="3370ff"/>
      </w:rPr>
    </w:lvl>
  </w:abstractNum>
  <w:abstractNum w:abstractNumId="606805">
    <w:lvl>
      <w:numFmt w:val="bullet"/>
      <w:suff w:val="tab"/>
      <w:lvlText w:val="▪"/>
      <w:rPr>
        <w:color w:val="3370ff"/>
        <w:sz w:val="11"/>
      </w:rPr>
    </w:lvl>
  </w:abstractNum>
  <w:abstractNum w:abstractNumId="606806">
    <w:lvl>
      <w:numFmt w:val="bullet"/>
      <w:suff w:val="tab"/>
      <w:lvlText w:val="▪"/>
      <w:rPr>
        <w:color w:val="3370ff"/>
        <w:sz w:val="11"/>
      </w:rPr>
    </w:lvl>
  </w:abstractNum>
  <w:abstractNum w:abstractNumId="606807">
    <w:lvl>
      <w:numFmt w:val="bullet"/>
      <w:suff w:val="tab"/>
      <w:lvlText w:val="￮"/>
      <w:rPr>
        <w:color w:val="3370ff"/>
      </w:rPr>
    </w:lvl>
  </w:abstractNum>
  <w:abstractNum w:abstractNumId="606808">
    <w:lvl>
      <w:numFmt w:val="bullet"/>
      <w:suff w:val="tab"/>
      <w:lvlText w:val="•"/>
      <w:rPr>
        <w:color w:val="3370ff"/>
      </w:rPr>
    </w:lvl>
  </w:abstractNum>
  <w:abstractNum w:abstractNumId="606809">
    <w:lvl>
      <w:numFmt w:val="bullet"/>
      <w:suff w:val="tab"/>
      <w:lvlText w:val="￮"/>
      <w:rPr>
        <w:color w:val="3370ff"/>
      </w:rPr>
    </w:lvl>
  </w:abstractNum>
  <w:abstractNum w:abstractNumId="606810">
    <w:lvl>
      <w:numFmt w:val="bullet"/>
      <w:suff w:val="tab"/>
      <w:lvlText w:val="￮"/>
      <w:rPr>
        <w:color w:val="3370ff"/>
      </w:rPr>
    </w:lvl>
  </w:abstractNum>
  <w:abstractNum w:abstractNumId="606811">
    <w:lvl>
      <w:numFmt w:val="bullet"/>
      <w:suff w:val="tab"/>
      <w:lvlText w:val="•"/>
      <w:rPr>
        <w:color w:val="3370ff"/>
      </w:rPr>
    </w:lvl>
  </w:abstractNum>
  <w:abstractNum w:abstractNumId="606812">
    <w:lvl>
      <w:numFmt w:val="bullet"/>
      <w:suff w:val="tab"/>
      <w:lvlText w:val="•"/>
      <w:rPr>
        <w:color w:val="3370ff"/>
      </w:rPr>
    </w:lvl>
  </w:abstractNum>
  <w:abstractNum w:abstractNumId="606813">
    <w:lvl>
      <w:numFmt w:val="bullet"/>
      <w:suff w:val="tab"/>
      <w:lvlText w:val="•"/>
      <w:rPr>
        <w:color w:val="3370ff"/>
      </w:rPr>
    </w:lvl>
  </w:abstractNum>
  <w:abstractNum w:abstractNumId="606814">
    <w:lvl>
      <w:numFmt w:val="bullet"/>
      <w:suff w:val="tab"/>
      <w:lvlText w:val="￮"/>
      <w:rPr>
        <w:color w:val="3370ff"/>
      </w:rPr>
    </w:lvl>
  </w:abstractNum>
  <w:abstractNum w:abstractNumId="606815">
    <w:lvl>
      <w:numFmt w:val="bullet"/>
      <w:suff w:val="tab"/>
      <w:lvlText w:val="￮"/>
      <w:rPr>
        <w:color w:val="3370ff"/>
      </w:rPr>
    </w:lvl>
  </w:abstractNum>
  <w:abstractNum w:abstractNumId="606816">
    <w:lvl>
      <w:numFmt w:val="bullet"/>
      <w:suff w:val="tab"/>
      <w:lvlText w:val="￮"/>
      <w:rPr>
        <w:color w:val="3370ff"/>
      </w:rPr>
    </w:lvl>
  </w:abstractNum>
  <w:abstractNum w:abstractNumId="606817">
    <w:lvl>
      <w:numFmt w:val="bullet"/>
      <w:suff w:val="tab"/>
      <w:lvlText w:val="•"/>
      <w:rPr>
        <w:color w:val="3370ff"/>
      </w:rPr>
    </w:lvl>
  </w:abstractNum>
  <w:abstractNum w:abstractNumId="606818">
    <w:lvl>
      <w:numFmt w:val="bullet"/>
      <w:suff w:val="tab"/>
      <w:lvlText w:val="￮"/>
      <w:rPr>
        <w:color w:val="3370ff"/>
      </w:rPr>
    </w:lvl>
  </w:abstractNum>
  <w:abstractNum w:abstractNumId="606819">
    <w:lvl>
      <w:numFmt w:val="bullet"/>
      <w:suff w:val="tab"/>
      <w:lvlText w:val="￮"/>
      <w:rPr>
        <w:color w:val="3370ff"/>
      </w:rPr>
    </w:lvl>
  </w:abstractNum>
  <w:abstractNum w:abstractNumId="606820">
    <w:lvl>
      <w:numFmt w:val="bullet"/>
      <w:suff w:val="tab"/>
      <w:lvlText w:val="•"/>
      <w:rPr>
        <w:color w:val="3370ff"/>
      </w:rPr>
    </w:lvl>
  </w:abstractNum>
  <w:abstractNum w:abstractNumId="606821">
    <w:lvl>
      <w:numFmt w:val="bullet"/>
      <w:suff w:val="tab"/>
      <w:lvlText w:val="•"/>
      <w:rPr>
        <w:color w:val="3370ff"/>
      </w:rPr>
    </w:lvl>
  </w:abstractNum>
  <w:abstractNum w:abstractNumId="606822">
    <w:lvl>
      <w:numFmt w:val="bullet"/>
      <w:suff w:val="tab"/>
      <w:lvlText w:val="•"/>
      <w:rPr>
        <w:color w:val="3370ff"/>
      </w:rPr>
    </w:lvl>
  </w:abstractNum>
  <w:abstractNum w:abstractNumId="606823">
    <w:lvl>
      <w:numFmt w:val="bullet"/>
      <w:suff w:val="tab"/>
      <w:lvlText w:val="•"/>
      <w:rPr>
        <w:color w:val="3370ff"/>
      </w:rPr>
    </w:lvl>
  </w:abstractNum>
  <w:abstractNum w:abstractNumId="606824">
    <w:lvl>
      <w:numFmt w:val="bullet"/>
      <w:suff w:val="tab"/>
      <w:lvlText w:val="•"/>
      <w:rPr>
        <w:color w:val="3370ff"/>
      </w:rPr>
    </w:lvl>
  </w:abstractNum>
  <w:abstractNum w:abstractNumId="606825">
    <w:lvl>
      <w:numFmt w:val="bullet"/>
      <w:suff w:val="tab"/>
      <w:lvlText w:val="•"/>
      <w:rPr>
        <w:color w:val="3370ff"/>
      </w:rPr>
    </w:lvl>
  </w:abstractNum>
  <w:abstractNum w:abstractNumId="606826">
    <w:lvl>
      <w:numFmt w:val="bullet"/>
      <w:suff w:val="tab"/>
      <w:lvlText w:val="￮"/>
      <w:rPr>
        <w:color w:val="3370ff"/>
      </w:rPr>
    </w:lvl>
  </w:abstractNum>
  <w:abstractNum w:abstractNumId="606827">
    <w:lvl>
      <w:numFmt w:val="bullet"/>
      <w:suff w:val="tab"/>
      <w:lvlText w:val="￮"/>
      <w:rPr>
        <w:color w:val="3370ff"/>
      </w:rPr>
    </w:lvl>
  </w:abstractNum>
  <w:abstractNum w:abstractNumId="606828">
    <w:lvl>
      <w:numFmt w:val="bullet"/>
      <w:suff w:val="tab"/>
      <w:lvlText w:val="•"/>
      <w:rPr>
        <w:color w:val="3370ff"/>
      </w:rPr>
    </w:lvl>
  </w:abstractNum>
  <w:abstractNum w:abstractNumId="606829">
    <w:lvl>
      <w:numFmt w:val="bullet"/>
      <w:suff w:val="tab"/>
      <w:lvlText w:val="￮"/>
      <w:rPr>
        <w:color w:val="3370ff"/>
      </w:rPr>
    </w:lvl>
  </w:abstractNum>
  <w:abstractNum w:abstractNumId="606830">
    <w:lvl>
      <w:numFmt w:val="bullet"/>
      <w:suff w:val="tab"/>
      <w:lvlText w:val="•"/>
      <w:rPr>
        <w:color w:val="3370ff"/>
      </w:rPr>
    </w:lvl>
  </w:abstractNum>
  <w:abstractNum w:abstractNumId="606831">
    <w:lvl>
      <w:numFmt w:val="bullet"/>
      <w:suff w:val="tab"/>
      <w:lvlText w:val="•"/>
      <w:rPr>
        <w:color w:val="3370ff"/>
      </w:rPr>
    </w:lvl>
  </w:abstractNum>
  <w:abstractNum w:abstractNumId="606832">
    <w:lvl>
      <w:numFmt w:val="bullet"/>
      <w:suff w:val="tab"/>
      <w:lvlText w:val="•"/>
      <w:rPr>
        <w:color w:val="3370ff"/>
      </w:rPr>
    </w:lvl>
  </w:abstractNum>
  <w:abstractNum w:abstractNumId="606833">
    <w:lvl>
      <w:numFmt w:val="bullet"/>
      <w:suff w:val="tab"/>
      <w:lvlText w:val="•"/>
      <w:rPr>
        <w:color w:val="3370ff"/>
      </w:rPr>
    </w:lvl>
  </w:abstractNum>
  <w:abstractNum w:abstractNumId="606834">
    <w:lvl>
      <w:numFmt w:val="bullet"/>
      <w:suff w:val="tab"/>
      <w:lvlText w:val="•"/>
      <w:rPr>
        <w:color w:val="3370ff"/>
      </w:rPr>
    </w:lvl>
  </w:abstractNum>
  <w:abstractNum w:abstractNumId="606835">
    <w:lvl>
      <w:numFmt w:val="bullet"/>
      <w:suff w:val="tab"/>
      <w:lvlText w:val="•"/>
      <w:rPr>
        <w:color w:val="3370ff"/>
      </w:rPr>
    </w:lvl>
  </w:abstractNum>
  <w:abstractNum w:abstractNumId="606836">
    <w:lvl>
      <w:start w:val="1"/>
      <w:numFmt w:val="decimal"/>
      <w:suff w:val="tab"/>
      <w:lvlText w:val="%1."/>
      <w:rPr>
        <w:color w:val="3370ff"/>
      </w:rPr>
    </w:lvl>
  </w:abstractNum>
  <w:abstractNum w:abstractNumId="606837">
    <w:lvl>
      <w:numFmt w:val="bullet"/>
      <w:suff w:val="tab"/>
      <w:lvlText w:val="￮"/>
      <w:rPr>
        <w:color w:val="3370ff"/>
      </w:rPr>
    </w:lvl>
  </w:abstractNum>
  <w:abstractNum w:abstractNumId="606838">
    <w:lvl>
      <w:numFmt w:val="bullet"/>
      <w:suff w:val="tab"/>
      <w:lvlText w:val="￮"/>
      <w:rPr>
        <w:color w:val="3370ff"/>
      </w:rPr>
    </w:lvl>
  </w:abstractNum>
  <w:abstractNum w:abstractNumId="606839">
    <w:lvl>
      <w:start w:val="2"/>
      <w:numFmt w:val="decimal"/>
      <w:suff w:val="tab"/>
      <w:lvlText w:val="%1."/>
      <w:rPr>
        <w:color w:val="3370ff"/>
      </w:rPr>
    </w:lvl>
  </w:abstractNum>
  <w:abstractNum w:abstractNumId="606840">
    <w:lvl>
      <w:numFmt w:val="bullet"/>
      <w:suff w:val="tab"/>
      <w:lvlText w:val="￮"/>
      <w:rPr>
        <w:color w:val="3370ff"/>
      </w:rPr>
    </w:lvl>
  </w:abstractNum>
  <w:abstractNum w:abstractNumId="606841">
    <w:lvl>
      <w:numFmt w:val="bullet"/>
      <w:suff w:val="tab"/>
      <w:lvlText w:val="￮"/>
      <w:rPr>
        <w:color w:val="3370ff"/>
      </w:rPr>
    </w:lvl>
  </w:abstractNum>
  <w:abstractNum w:abstractNumId="606842">
    <w:lvl>
      <w:start w:val="3"/>
      <w:numFmt w:val="decimal"/>
      <w:suff w:val="tab"/>
      <w:lvlText w:val="%1."/>
      <w:rPr>
        <w:color w:val="3370ff"/>
      </w:rPr>
    </w:lvl>
  </w:abstractNum>
  <w:abstractNum w:abstractNumId="606843">
    <w:lvl>
      <w:numFmt w:val="bullet"/>
      <w:suff w:val="tab"/>
      <w:lvlText w:val="￮"/>
      <w:rPr>
        <w:color w:val="3370ff"/>
      </w:rPr>
    </w:lvl>
  </w:abstractNum>
  <w:abstractNum w:abstractNumId="606844">
    <w:lvl>
      <w:numFmt w:val="bullet"/>
      <w:suff w:val="tab"/>
      <w:lvlText w:val="￮"/>
      <w:rPr>
        <w:color w:val="3370ff"/>
      </w:rPr>
    </w:lvl>
  </w:abstractNum>
  <w:abstractNum w:abstractNumId="606845">
    <w:lvl>
      <w:numFmt w:val="bullet"/>
      <w:suff w:val="tab"/>
      <w:lvlText w:val="•"/>
      <w:rPr>
        <w:color w:val="3370ff"/>
      </w:rPr>
    </w:lvl>
  </w:abstractNum>
  <w:abstractNum w:abstractNumId="606846">
    <w:lvl>
      <w:numFmt w:val="bullet"/>
      <w:suff w:val="tab"/>
      <w:lvlText w:val="•"/>
      <w:rPr>
        <w:color w:val="3370ff"/>
      </w:rPr>
    </w:lvl>
  </w:abstractNum>
  <w:abstractNum w:abstractNumId="606847">
    <w:lvl>
      <w:numFmt w:val="bullet"/>
      <w:suff w:val="tab"/>
      <w:lvlText w:val="•"/>
      <w:rPr>
        <w:color w:val="3370ff"/>
      </w:rPr>
    </w:lvl>
  </w:abstractNum>
  <w:abstractNum w:abstractNumId="606848">
    <w:lvl>
      <w:numFmt w:val="bullet"/>
      <w:suff w:val="tab"/>
      <w:lvlText w:val="•"/>
      <w:rPr>
        <w:color w:val="3370ff"/>
      </w:rPr>
    </w:lvl>
  </w:abstractNum>
  <w:abstractNum w:abstractNumId="606849">
    <w:lvl>
      <w:numFmt w:val="bullet"/>
      <w:suff w:val="tab"/>
      <w:lvlText w:val="•"/>
      <w:rPr>
        <w:color w:val="3370ff"/>
      </w:rPr>
    </w:lvl>
  </w:abstractNum>
  <w:abstractNum w:abstractNumId="606850">
    <w:lvl>
      <w:numFmt w:val="bullet"/>
      <w:suff w:val="tab"/>
      <w:lvlText w:val="￮"/>
      <w:rPr>
        <w:color w:val="3370ff"/>
      </w:rPr>
    </w:lvl>
  </w:abstractNum>
  <w:abstractNum w:abstractNumId="606851">
    <w:lvl>
      <w:numFmt w:val="bullet"/>
      <w:suff w:val="tab"/>
      <w:lvlText w:val="￮"/>
      <w:rPr>
        <w:color w:val="3370ff"/>
      </w:rPr>
    </w:lvl>
  </w:abstractNum>
  <w:abstractNum w:abstractNumId="606852">
    <w:lvl>
      <w:numFmt w:val="bullet"/>
      <w:suff w:val="tab"/>
      <w:lvlText w:val="￮"/>
      <w:rPr>
        <w:color w:val="3370ff"/>
      </w:rPr>
    </w:lvl>
  </w:abstractNum>
  <w:abstractNum w:abstractNumId="606853">
    <w:lvl>
      <w:numFmt w:val="bullet"/>
      <w:suff w:val="tab"/>
      <w:lvlText w:val="•"/>
      <w:rPr>
        <w:color w:val="3370ff"/>
      </w:rPr>
    </w:lvl>
  </w:abstractNum>
  <w:abstractNum w:abstractNumId="606854">
    <w:lvl>
      <w:numFmt w:val="bullet"/>
      <w:suff w:val="tab"/>
      <w:lvlText w:val="￮"/>
      <w:rPr>
        <w:color w:val="3370ff"/>
      </w:rPr>
    </w:lvl>
  </w:abstractNum>
  <w:abstractNum w:abstractNumId="606855">
    <w:lvl>
      <w:numFmt w:val="bullet"/>
      <w:suff w:val="tab"/>
      <w:lvlText w:val="￮"/>
      <w:rPr>
        <w:color w:val="3370ff"/>
      </w:rPr>
    </w:lvl>
  </w:abstractNum>
  <w:abstractNum w:abstractNumId="606856">
    <w:lvl>
      <w:numFmt w:val="bullet"/>
      <w:suff w:val="tab"/>
      <w:lvlText w:val="￮"/>
      <w:rPr>
        <w:color w:val="3370ff"/>
      </w:rPr>
    </w:lvl>
  </w:abstractNum>
  <w:abstractNum w:abstractNumId="606857">
    <w:lvl>
      <w:start w:val="1"/>
      <w:numFmt w:val="decimal"/>
      <w:suff w:val="tab"/>
      <w:lvlText w:val="%1."/>
      <w:rPr>
        <w:color w:val="3370ff"/>
      </w:rPr>
    </w:lvl>
  </w:abstractNum>
  <w:abstractNum w:abstractNumId="606858">
    <w:lvl>
      <w:numFmt w:val="bullet"/>
      <w:suff w:val="tab"/>
      <w:lvlText w:val="￮"/>
      <w:rPr>
        <w:color w:val="3370ff"/>
      </w:rPr>
    </w:lvl>
  </w:abstractNum>
  <w:abstractNum w:abstractNumId="606859">
    <w:lvl>
      <w:numFmt w:val="bullet"/>
      <w:suff w:val="tab"/>
      <w:lvlText w:val="￮"/>
      <w:rPr>
        <w:color w:val="3370ff"/>
      </w:rPr>
    </w:lvl>
  </w:abstractNum>
  <w:abstractNum w:abstractNumId="606860">
    <w:lvl>
      <w:start w:val="2"/>
      <w:numFmt w:val="decimal"/>
      <w:suff w:val="tab"/>
      <w:lvlText w:val="%1."/>
      <w:rPr>
        <w:color w:val="3370ff"/>
      </w:rPr>
    </w:lvl>
  </w:abstractNum>
  <w:abstractNum w:abstractNumId="606861">
    <w:lvl>
      <w:numFmt w:val="bullet"/>
      <w:suff w:val="tab"/>
      <w:lvlText w:val="￮"/>
      <w:rPr>
        <w:color w:val="3370ff"/>
      </w:rPr>
    </w:lvl>
  </w:abstractNum>
  <w:abstractNum w:abstractNumId="606862">
    <w:lvl>
      <w:numFmt w:val="bullet"/>
      <w:suff w:val="tab"/>
      <w:lvlText w:val="￮"/>
      <w:rPr>
        <w:color w:val="3370ff"/>
      </w:rPr>
    </w:lvl>
  </w:abstractNum>
  <w:abstractNum w:abstractNumId="606863">
    <w:lvl>
      <w:numFmt w:val="bullet"/>
      <w:suff w:val="tab"/>
      <w:lvlText w:val="￮"/>
      <w:rPr>
        <w:color w:val="3370ff"/>
      </w:rPr>
    </w:lvl>
  </w:abstractNum>
  <w:abstractNum w:abstractNumId="606864">
    <w:lvl>
      <w:start w:val="3"/>
      <w:numFmt w:val="decimal"/>
      <w:suff w:val="tab"/>
      <w:lvlText w:val="%1."/>
      <w:rPr>
        <w:color w:val="3370ff"/>
      </w:rPr>
    </w:lvl>
  </w:abstractNum>
  <w:abstractNum w:abstractNumId="606865">
    <w:lvl>
      <w:numFmt w:val="bullet"/>
      <w:suff w:val="tab"/>
      <w:lvlText w:val="￮"/>
      <w:rPr>
        <w:color w:val="3370ff"/>
      </w:rPr>
    </w:lvl>
  </w:abstractNum>
  <w:abstractNum w:abstractNumId="606866">
    <w:lvl>
      <w:numFmt w:val="bullet"/>
      <w:suff w:val="tab"/>
      <w:lvlText w:val="￮"/>
      <w:rPr>
        <w:color w:val="3370ff"/>
      </w:rPr>
    </w:lvl>
  </w:abstractNum>
  <w:abstractNum w:abstractNumId="606867">
    <w:lvl>
      <w:start w:val="4"/>
      <w:numFmt w:val="decimal"/>
      <w:suff w:val="tab"/>
      <w:lvlText w:val="%1."/>
      <w:rPr>
        <w:color w:val="3370ff"/>
      </w:rPr>
    </w:lvl>
  </w:abstractNum>
  <w:abstractNum w:abstractNumId="606868">
    <w:lvl>
      <w:numFmt w:val="bullet"/>
      <w:suff w:val="tab"/>
      <w:lvlText w:val="￮"/>
      <w:rPr>
        <w:color w:val="3370ff"/>
      </w:rPr>
    </w:lvl>
  </w:abstractNum>
  <w:abstractNum w:abstractNumId="606869">
    <w:lvl>
      <w:numFmt w:val="bullet"/>
      <w:suff w:val="tab"/>
      <w:lvlText w:val="￮"/>
      <w:rPr>
        <w:color w:val="3370ff"/>
      </w:rPr>
    </w:lvl>
  </w:abstractNum>
  <w:abstractNum w:abstractNumId="606870">
    <w:lvl>
      <w:start w:val="1"/>
      <w:numFmt w:val="decimal"/>
      <w:suff w:val="tab"/>
      <w:lvlText w:val="%1."/>
      <w:rPr>
        <w:color w:val="3370ff"/>
      </w:rPr>
    </w:lvl>
  </w:abstractNum>
  <w:abstractNum w:abstractNumId="606871">
    <w:lvl>
      <w:numFmt w:val="bullet"/>
      <w:suff w:val="tab"/>
      <w:lvlText w:val="￮"/>
      <w:rPr>
        <w:color w:val="3370ff"/>
      </w:rPr>
    </w:lvl>
  </w:abstractNum>
  <w:abstractNum w:abstractNumId="606872">
    <w:lvl>
      <w:numFmt w:val="bullet"/>
      <w:suff w:val="tab"/>
      <w:lvlText w:val="￮"/>
      <w:rPr>
        <w:color w:val="3370ff"/>
      </w:rPr>
    </w:lvl>
  </w:abstractNum>
  <w:abstractNum w:abstractNumId="606873">
    <w:lvl>
      <w:start w:val="2"/>
      <w:numFmt w:val="decimal"/>
      <w:suff w:val="tab"/>
      <w:lvlText w:val="%1."/>
      <w:rPr>
        <w:color w:val="3370ff"/>
      </w:rPr>
    </w:lvl>
  </w:abstractNum>
  <w:abstractNum w:abstractNumId="606874">
    <w:lvl>
      <w:numFmt w:val="bullet"/>
      <w:suff w:val="tab"/>
      <w:lvlText w:val="￮"/>
      <w:rPr>
        <w:color w:val="3370ff"/>
      </w:rPr>
    </w:lvl>
  </w:abstractNum>
  <w:abstractNum w:abstractNumId="606875">
    <w:lvl>
      <w:numFmt w:val="bullet"/>
      <w:suff w:val="tab"/>
      <w:lvlText w:val="￮"/>
      <w:rPr>
        <w:color w:val="3370ff"/>
      </w:rPr>
    </w:lvl>
  </w:abstractNum>
  <w:abstractNum w:abstractNumId="606876">
    <w:lvl>
      <w:start w:val="3"/>
      <w:numFmt w:val="decimal"/>
      <w:suff w:val="tab"/>
      <w:lvlText w:val="%1."/>
      <w:rPr>
        <w:color w:val="3370ff"/>
      </w:rPr>
    </w:lvl>
  </w:abstractNum>
  <w:abstractNum w:abstractNumId="606877">
    <w:lvl>
      <w:numFmt w:val="bullet"/>
      <w:suff w:val="tab"/>
      <w:lvlText w:val="￮"/>
      <w:rPr>
        <w:color w:val="3370ff"/>
      </w:rPr>
    </w:lvl>
  </w:abstractNum>
  <w:abstractNum w:abstractNumId="606878">
    <w:lvl>
      <w:numFmt w:val="bullet"/>
      <w:suff w:val="tab"/>
      <w:lvlText w:val="￮"/>
      <w:rPr>
        <w:color w:val="3370ff"/>
      </w:rPr>
    </w:lvl>
  </w:abstractNum>
  <w:abstractNum w:abstractNumId="606879">
    <w:lvl>
      <w:start w:val="4"/>
      <w:numFmt w:val="decimal"/>
      <w:suff w:val="tab"/>
      <w:lvlText w:val="%1."/>
      <w:rPr>
        <w:color w:val="3370ff"/>
      </w:rPr>
    </w:lvl>
  </w:abstractNum>
  <w:abstractNum w:abstractNumId="606880">
    <w:lvl>
      <w:numFmt w:val="bullet"/>
      <w:suff w:val="tab"/>
      <w:lvlText w:val="￮"/>
      <w:rPr>
        <w:color w:val="3370ff"/>
      </w:rPr>
    </w:lvl>
  </w:abstractNum>
  <w:abstractNum w:abstractNumId="606881">
    <w:lvl>
      <w:numFmt w:val="bullet"/>
      <w:suff w:val="tab"/>
      <w:lvlText w:val="￮"/>
      <w:rPr>
        <w:color w:val="3370ff"/>
      </w:rPr>
    </w:lvl>
  </w:abstractNum>
  <w:abstractNum w:abstractNumId="606882">
    <w:lvl>
      <w:numFmt w:val="bullet"/>
      <w:suff w:val="tab"/>
      <w:lvlText w:val="•"/>
      <w:rPr>
        <w:color w:val="3370ff"/>
      </w:rPr>
    </w:lvl>
  </w:abstractNum>
  <w:abstractNum w:abstractNumId="606883">
    <w:lvl>
      <w:numFmt w:val="bullet"/>
      <w:suff w:val="tab"/>
      <w:lvlText w:val="•"/>
      <w:rPr>
        <w:color w:val="3370ff"/>
      </w:rPr>
    </w:lvl>
  </w:abstractNum>
  <w:abstractNum w:abstractNumId="606884">
    <w:lvl>
      <w:numFmt w:val="bullet"/>
      <w:suff w:val="tab"/>
      <w:lvlText w:val="•"/>
      <w:rPr>
        <w:color w:val="3370ff"/>
      </w:rPr>
    </w:lvl>
  </w:abstractNum>
  <w:abstractNum w:abstractNumId="606885">
    <w:lvl>
      <w:numFmt w:val="bullet"/>
      <w:suff w:val="tab"/>
      <w:lvlText w:val="•"/>
      <w:rPr>
        <w:color w:val="3370ff"/>
      </w:rPr>
    </w:lvl>
  </w:abstractNum>
  <w:abstractNum w:abstractNumId="606886">
    <w:lvl>
      <w:numFmt w:val="bullet"/>
      <w:suff w:val="tab"/>
      <w:lvlText w:val="•"/>
      <w:rPr>
        <w:color w:val="3370ff"/>
      </w:rPr>
    </w:lvl>
  </w:abstractNum>
  <w:abstractNum w:abstractNumId="606887">
    <w:lvl>
      <w:numFmt w:val="bullet"/>
      <w:suff w:val="tab"/>
      <w:lvlText w:val="•"/>
      <w:rPr>
        <w:color w:val="3370ff"/>
      </w:rPr>
    </w:lvl>
  </w:abstractNum>
  <w:abstractNum w:abstractNumId="606888">
    <w:lvl>
      <w:numFmt w:val="bullet"/>
      <w:suff w:val="tab"/>
      <w:lvlText w:val="•"/>
      <w:rPr>
        <w:color w:val="3370ff"/>
      </w:rPr>
    </w:lvl>
  </w:abstractNum>
  <w:abstractNum w:abstractNumId="606889">
    <w:lvl>
      <w:numFmt w:val="bullet"/>
      <w:suff w:val="tab"/>
      <w:lvlText w:val="•"/>
      <w:rPr>
        <w:color w:val="3370ff"/>
      </w:rPr>
    </w:lvl>
  </w:abstractNum>
  <w:abstractNum w:abstractNumId="606890">
    <w:lvl>
      <w:start w:val="1"/>
      <w:numFmt w:val="decimal"/>
      <w:suff w:val="tab"/>
      <w:lvlText w:val="%1."/>
      <w:rPr>
        <w:color w:val="3370ff"/>
      </w:rPr>
    </w:lvl>
  </w:abstractNum>
  <w:abstractNum w:abstractNumId="606891">
    <w:lvl>
      <w:start w:val="2"/>
      <w:numFmt w:val="decimal"/>
      <w:suff w:val="tab"/>
      <w:lvlText w:val="%1."/>
      <w:rPr>
        <w:color w:val="3370ff"/>
      </w:rPr>
    </w:lvl>
  </w:abstractNum>
  <w:abstractNum w:abstractNumId="606892">
    <w:lvl>
      <w:start w:val="3"/>
      <w:numFmt w:val="decimal"/>
      <w:suff w:val="tab"/>
      <w:lvlText w:val="%1."/>
      <w:rPr>
        <w:color w:val="3370ff"/>
      </w:rPr>
    </w:lvl>
  </w:abstractNum>
  <w:abstractNum w:abstractNumId="606893">
    <w:lvl>
      <w:start w:val="4"/>
      <w:numFmt w:val="decimal"/>
      <w:suff w:val="tab"/>
      <w:lvlText w:val="%1."/>
      <w:rPr>
        <w:color w:val="3370ff"/>
      </w:rPr>
    </w:lvl>
  </w:abstractNum>
  <w:abstractNum w:abstractNumId="606894">
    <w:lvl>
      <w:numFmt w:val="bullet"/>
      <w:suff w:val="tab"/>
      <w:lvlText w:val="•"/>
      <w:rPr>
        <w:color w:val="3370ff"/>
      </w:rPr>
    </w:lvl>
  </w:abstractNum>
  <w:abstractNum w:abstractNumId="606895">
    <w:lvl>
      <w:numFmt w:val="bullet"/>
      <w:suff w:val="tab"/>
      <w:lvlText w:val="•"/>
      <w:rPr>
        <w:color w:val="3370ff"/>
      </w:rPr>
    </w:lvl>
  </w:abstractNum>
  <w:abstractNum w:abstractNumId="606896">
    <w:lvl>
      <w:numFmt w:val="bullet"/>
      <w:suff w:val="tab"/>
      <w:lvlText w:val="•"/>
      <w:rPr>
        <w:color w:val="3370ff"/>
      </w:rPr>
    </w:lvl>
  </w:abstractNum>
  <w:abstractNum w:abstractNumId="606897">
    <w:lvl>
      <w:numFmt w:val="bullet"/>
      <w:suff w:val="tab"/>
      <w:lvlText w:val="•"/>
      <w:rPr>
        <w:color w:val="3370ff"/>
      </w:rPr>
    </w:lvl>
  </w:abstractNum>
  <w:abstractNum w:abstractNumId="606898">
    <w:lvl>
      <w:numFmt w:val="bullet"/>
      <w:suff w:val="tab"/>
      <w:lvlText w:val="•"/>
      <w:rPr>
        <w:color w:val="3370ff"/>
      </w:rPr>
    </w:lvl>
  </w:abstractNum>
  <w:abstractNum w:abstractNumId="606899">
    <w:lvl>
      <w:numFmt w:val="bullet"/>
      <w:suff w:val="tab"/>
      <w:lvlText w:val="•"/>
      <w:rPr>
        <w:color w:val="3370ff"/>
      </w:rPr>
    </w:lvl>
  </w:abstractNum>
  <w:abstractNum w:abstractNumId="606900">
    <w:lvl>
      <w:numFmt w:val="bullet"/>
      <w:suff w:val="tab"/>
      <w:lvlText w:val="•"/>
      <w:rPr>
        <w:color w:val="3370ff"/>
      </w:rPr>
    </w:lvl>
  </w:abstractNum>
  <w:abstractNum w:abstractNumId="606901">
    <w:lvl>
      <w:numFmt w:val="bullet"/>
      <w:suff w:val="tab"/>
      <w:lvlText w:val="•"/>
      <w:rPr>
        <w:color w:val="3370ff"/>
      </w:rPr>
    </w:lvl>
  </w:abstractNum>
  <w:abstractNum w:abstractNumId="606902">
    <w:lvl>
      <w:numFmt w:val="bullet"/>
      <w:suff w:val="tab"/>
      <w:lvlText w:val="•"/>
      <w:rPr>
        <w:color w:val="3370ff"/>
      </w:rPr>
    </w:lvl>
  </w:abstractNum>
  <w:abstractNum w:abstractNumId="606903">
    <w:lvl>
      <w:numFmt w:val="bullet"/>
      <w:suff w:val="tab"/>
      <w:lvlText w:val="•"/>
      <w:rPr>
        <w:color w:val="3370ff"/>
      </w:rPr>
    </w:lvl>
  </w:abstractNum>
  <w:abstractNum w:abstractNumId="606904">
    <w:lvl>
      <w:numFmt w:val="bullet"/>
      <w:suff w:val="tab"/>
      <w:lvlText w:val="•"/>
      <w:rPr>
        <w:color w:val="3370ff"/>
      </w:rPr>
    </w:lvl>
  </w:abstractNum>
  <w:abstractNum w:abstractNumId="606905">
    <w:lvl>
      <w:numFmt w:val="bullet"/>
      <w:suff w:val="tab"/>
      <w:lvlText w:val="•"/>
      <w:rPr>
        <w:color w:val="3370ff"/>
      </w:rPr>
    </w:lvl>
  </w:abstractNum>
  <w:abstractNum w:abstractNumId="606906">
    <w:lvl>
      <w:numFmt w:val="bullet"/>
      <w:suff w:val="tab"/>
      <w:lvlText w:val="•"/>
      <w:rPr>
        <w:color w:val="3370ff"/>
      </w:rPr>
    </w:lvl>
  </w:abstractNum>
  <w:abstractNum w:abstractNumId="606907">
    <w:lvl>
      <w:numFmt w:val="bullet"/>
      <w:suff w:val="tab"/>
      <w:lvlText w:val="•"/>
      <w:rPr>
        <w:color w:val="3370ff"/>
      </w:rPr>
    </w:lvl>
  </w:abstractNum>
  <w:abstractNum w:abstractNumId="606908">
    <w:lvl>
      <w:numFmt w:val="bullet"/>
      <w:suff w:val="tab"/>
      <w:lvlText w:val="•"/>
      <w:rPr>
        <w:color w:val="3370ff"/>
      </w:rPr>
    </w:lvl>
  </w:abstractNum>
  <w:abstractNum w:abstractNumId="606909">
    <w:lvl>
      <w:numFmt w:val="bullet"/>
      <w:suff w:val="tab"/>
      <w:lvlText w:val="•"/>
      <w:rPr>
        <w:color w:val="3370ff"/>
      </w:rPr>
    </w:lvl>
  </w:abstractNum>
  <w:abstractNum w:abstractNumId="606910">
    <w:lvl>
      <w:numFmt w:val="bullet"/>
      <w:suff w:val="tab"/>
      <w:lvlText w:val="•"/>
      <w:rPr>
        <w:color w:val="3370ff"/>
      </w:rPr>
    </w:lvl>
  </w:abstractNum>
  <w:abstractNum w:abstractNumId="606911">
    <w:lvl>
      <w:numFmt w:val="bullet"/>
      <w:suff w:val="tab"/>
      <w:lvlText w:val="•"/>
      <w:rPr>
        <w:color w:val="3370ff"/>
      </w:rPr>
    </w:lvl>
  </w:abstractNum>
  <w:abstractNum w:abstractNumId="606912">
    <w:lvl>
      <w:numFmt w:val="bullet"/>
      <w:suff w:val="tab"/>
      <w:lvlText w:val="•"/>
      <w:rPr>
        <w:color w:val="3370ff"/>
      </w:rPr>
    </w:lvl>
  </w:abstractNum>
  <w:abstractNum w:abstractNumId="606913">
    <w:lvl>
      <w:numFmt w:val="bullet"/>
      <w:suff w:val="tab"/>
      <w:lvlText w:val="•"/>
      <w:rPr>
        <w:color w:val="3370ff"/>
      </w:rPr>
    </w:lvl>
  </w:abstractNum>
  <w:abstractNum w:abstractNumId="606914">
    <w:lvl>
      <w:numFmt w:val="bullet"/>
      <w:suff w:val="tab"/>
      <w:lvlText w:val="•"/>
      <w:rPr>
        <w:color w:val="3370ff"/>
      </w:rPr>
    </w:lvl>
  </w:abstractNum>
  <w:abstractNum w:abstractNumId="606915">
    <w:lvl>
      <w:start w:val="1"/>
      <w:numFmt w:val="decimal"/>
      <w:suff w:val="tab"/>
      <w:lvlText w:val="%1."/>
      <w:rPr>
        <w:color w:val="3370ff"/>
      </w:rPr>
    </w:lvl>
  </w:abstractNum>
  <w:abstractNum w:abstractNumId="606916">
    <w:lvl>
      <w:start w:val="2"/>
      <w:numFmt w:val="decimal"/>
      <w:suff w:val="tab"/>
      <w:lvlText w:val="%1."/>
      <w:rPr>
        <w:color w:val="3370ff"/>
      </w:rPr>
    </w:lvl>
  </w:abstractNum>
  <w:abstractNum w:abstractNumId="606917">
    <w:lvl>
      <w:start w:val="3"/>
      <w:numFmt w:val="decimal"/>
      <w:suff w:val="tab"/>
      <w:lvlText w:val="%1."/>
      <w:rPr>
        <w:color w:val="3370ff"/>
      </w:rPr>
    </w:lvl>
  </w:abstractNum>
  <w:abstractNum w:abstractNumId="606918">
    <w:lvl>
      <w:start w:val="4"/>
      <w:numFmt w:val="decimal"/>
      <w:suff w:val="tab"/>
      <w:lvlText w:val="%1."/>
      <w:rPr>
        <w:color w:val="3370ff"/>
      </w:rPr>
    </w:lvl>
  </w:abstractNum>
  <w:abstractNum w:abstractNumId="60691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06729"/>
  </w:num>
  <w:num w:numId="2">
    <w:abstractNumId w:val="606730"/>
  </w:num>
  <w:num w:numId="3">
    <w:abstractNumId w:val="606731"/>
  </w:num>
  <w:num w:numId="4">
    <w:abstractNumId w:val="606732"/>
  </w:num>
  <w:num w:numId="5">
    <w:abstractNumId w:val="606733"/>
  </w:num>
  <w:num w:numId="6">
    <w:abstractNumId w:val="606734"/>
  </w:num>
  <w:num w:numId="7">
    <w:abstractNumId w:val="606735"/>
  </w:num>
  <w:num w:numId="8">
    <w:abstractNumId w:val="606736"/>
  </w:num>
  <w:num w:numId="9">
    <w:abstractNumId w:val="606737"/>
  </w:num>
  <w:num w:numId="10">
    <w:abstractNumId w:val="606738"/>
  </w:num>
  <w:num w:numId="11">
    <w:abstractNumId w:val="606739"/>
  </w:num>
  <w:num w:numId="12">
    <w:abstractNumId w:val="606740"/>
  </w:num>
  <w:num w:numId="13">
    <w:abstractNumId w:val="606741"/>
  </w:num>
  <w:num w:numId="14">
    <w:abstractNumId w:val="606742"/>
  </w:num>
  <w:num w:numId="15">
    <w:abstractNumId w:val="606743"/>
  </w:num>
  <w:num w:numId="16">
    <w:abstractNumId w:val="606744"/>
  </w:num>
  <w:num w:numId="17">
    <w:abstractNumId w:val="606745"/>
  </w:num>
  <w:num w:numId="18">
    <w:abstractNumId w:val="606746"/>
  </w:num>
  <w:num w:numId="19">
    <w:abstractNumId w:val="606747"/>
  </w:num>
  <w:num w:numId="20">
    <w:abstractNumId w:val="606748"/>
  </w:num>
  <w:num w:numId="21">
    <w:abstractNumId w:val="606749"/>
  </w:num>
  <w:num w:numId="22">
    <w:abstractNumId w:val="606750"/>
  </w:num>
  <w:num w:numId="23">
    <w:abstractNumId w:val="606751"/>
  </w:num>
  <w:num w:numId="24">
    <w:abstractNumId w:val="606752"/>
  </w:num>
  <w:num w:numId="25">
    <w:abstractNumId w:val="606753"/>
  </w:num>
  <w:num w:numId="26">
    <w:abstractNumId w:val="606754"/>
  </w:num>
  <w:num w:numId="27">
    <w:abstractNumId w:val="606755"/>
  </w:num>
  <w:num w:numId="28">
    <w:abstractNumId w:val="606756"/>
  </w:num>
  <w:num w:numId="29">
    <w:abstractNumId w:val="606757"/>
  </w:num>
  <w:num w:numId="30">
    <w:abstractNumId w:val="606758"/>
  </w:num>
  <w:num w:numId="31">
    <w:abstractNumId w:val="606759"/>
  </w:num>
  <w:num w:numId="32">
    <w:abstractNumId w:val="606760"/>
  </w:num>
  <w:num w:numId="33">
    <w:abstractNumId w:val="606761"/>
  </w:num>
  <w:num w:numId="34">
    <w:abstractNumId w:val="606762"/>
  </w:num>
  <w:num w:numId="35">
    <w:abstractNumId w:val="606763"/>
  </w:num>
  <w:num w:numId="36">
    <w:abstractNumId w:val="606764"/>
  </w:num>
  <w:num w:numId="37">
    <w:abstractNumId w:val="606765"/>
  </w:num>
  <w:num w:numId="38">
    <w:abstractNumId w:val="606766"/>
  </w:num>
  <w:num w:numId="39">
    <w:abstractNumId w:val="606767"/>
  </w:num>
  <w:num w:numId="40">
    <w:abstractNumId w:val="606768"/>
  </w:num>
  <w:num w:numId="41">
    <w:abstractNumId w:val="606769"/>
  </w:num>
  <w:num w:numId="42">
    <w:abstractNumId w:val="606770"/>
  </w:num>
  <w:num w:numId="43">
    <w:abstractNumId w:val="606771"/>
  </w:num>
  <w:num w:numId="44">
    <w:abstractNumId w:val="606772"/>
  </w:num>
  <w:num w:numId="45">
    <w:abstractNumId w:val="606773"/>
  </w:num>
  <w:num w:numId="46">
    <w:abstractNumId w:val="606774"/>
  </w:num>
  <w:num w:numId="47">
    <w:abstractNumId w:val="606775"/>
  </w:num>
  <w:num w:numId="48">
    <w:abstractNumId w:val="606776"/>
  </w:num>
  <w:num w:numId="49">
    <w:abstractNumId w:val="606777"/>
  </w:num>
  <w:num w:numId="50">
    <w:abstractNumId w:val="606778"/>
  </w:num>
  <w:num w:numId="51">
    <w:abstractNumId w:val="606779"/>
  </w:num>
  <w:num w:numId="52">
    <w:abstractNumId w:val="606780"/>
  </w:num>
  <w:num w:numId="53">
    <w:abstractNumId w:val="606781"/>
  </w:num>
  <w:num w:numId="54">
    <w:abstractNumId w:val="606782"/>
  </w:num>
  <w:num w:numId="55">
    <w:abstractNumId w:val="606783"/>
  </w:num>
  <w:num w:numId="56">
    <w:abstractNumId w:val="606784"/>
  </w:num>
  <w:num w:numId="57">
    <w:abstractNumId w:val="606785"/>
  </w:num>
  <w:num w:numId="58">
    <w:abstractNumId w:val="606786"/>
  </w:num>
  <w:num w:numId="59">
    <w:abstractNumId w:val="606787"/>
  </w:num>
  <w:num w:numId="60">
    <w:abstractNumId w:val="606788"/>
  </w:num>
  <w:num w:numId="61">
    <w:abstractNumId w:val="606789"/>
  </w:num>
  <w:num w:numId="62">
    <w:abstractNumId w:val="606790"/>
  </w:num>
  <w:num w:numId="63">
    <w:abstractNumId w:val="606791"/>
  </w:num>
  <w:num w:numId="64">
    <w:abstractNumId w:val="606792"/>
  </w:num>
  <w:num w:numId="65">
    <w:abstractNumId w:val="606793"/>
  </w:num>
  <w:num w:numId="66">
    <w:abstractNumId w:val="606794"/>
  </w:num>
  <w:num w:numId="67">
    <w:abstractNumId w:val="606795"/>
  </w:num>
  <w:num w:numId="68">
    <w:abstractNumId w:val="606796"/>
  </w:num>
  <w:num w:numId="69">
    <w:abstractNumId w:val="606797"/>
  </w:num>
  <w:num w:numId="70">
    <w:abstractNumId w:val="606798"/>
  </w:num>
  <w:num w:numId="71">
    <w:abstractNumId w:val="606799"/>
  </w:num>
  <w:num w:numId="72">
    <w:abstractNumId w:val="606800"/>
  </w:num>
  <w:num w:numId="73">
    <w:abstractNumId w:val="606801"/>
  </w:num>
  <w:num w:numId="74">
    <w:abstractNumId w:val="606802"/>
  </w:num>
  <w:num w:numId="75">
    <w:abstractNumId w:val="606803"/>
  </w:num>
  <w:num w:numId="76">
    <w:abstractNumId w:val="606804"/>
  </w:num>
  <w:num w:numId="77">
    <w:abstractNumId w:val="606805"/>
  </w:num>
  <w:num w:numId="78">
    <w:abstractNumId w:val="606806"/>
  </w:num>
  <w:num w:numId="79">
    <w:abstractNumId w:val="606807"/>
  </w:num>
  <w:num w:numId="80">
    <w:abstractNumId w:val="606808"/>
  </w:num>
  <w:num w:numId="81">
    <w:abstractNumId w:val="606809"/>
  </w:num>
  <w:num w:numId="82">
    <w:abstractNumId w:val="606810"/>
  </w:num>
  <w:num w:numId="83">
    <w:abstractNumId w:val="606811"/>
  </w:num>
  <w:num w:numId="84">
    <w:abstractNumId w:val="606812"/>
  </w:num>
  <w:num w:numId="85">
    <w:abstractNumId w:val="606813"/>
  </w:num>
  <w:num w:numId="86">
    <w:abstractNumId w:val="606814"/>
  </w:num>
  <w:num w:numId="87">
    <w:abstractNumId w:val="606815"/>
  </w:num>
  <w:num w:numId="88">
    <w:abstractNumId w:val="606816"/>
  </w:num>
  <w:num w:numId="89">
    <w:abstractNumId w:val="606817"/>
  </w:num>
  <w:num w:numId="90">
    <w:abstractNumId w:val="606818"/>
  </w:num>
  <w:num w:numId="91">
    <w:abstractNumId w:val="606819"/>
  </w:num>
  <w:num w:numId="92">
    <w:abstractNumId w:val="606820"/>
  </w:num>
  <w:num w:numId="93">
    <w:abstractNumId w:val="606821"/>
  </w:num>
  <w:num w:numId="94">
    <w:abstractNumId w:val="606822"/>
  </w:num>
  <w:num w:numId="95">
    <w:abstractNumId w:val="606823"/>
  </w:num>
  <w:num w:numId="96">
    <w:abstractNumId w:val="606824"/>
  </w:num>
  <w:num w:numId="97">
    <w:abstractNumId w:val="606825"/>
  </w:num>
  <w:num w:numId="98">
    <w:abstractNumId w:val="606826"/>
  </w:num>
  <w:num w:numId="99">
    <w:abstractNumId w:val="606827"/>
  </w:num>
  <w:num w:numId="100">
    <w:abstractNumId w:val="606828"/>
  </w:num>
  <w:num w:numId="101">
    <w:abstractNumId w:val="606829"/>
  </w:num>
  <w:num w:numId="102">
    <w:abstractNumId w:val="606830"/>
  </w:num>
  <w:num w:numId="103">
    <w:abstractNumId w:val="606831"/>
  </w:num>
  <w:num w:numId="104">
    <w:abstractNumId w:val="606832"/>
  </w:num>
  <w:num w:numId="105">
    <w:abstractNumId w:val="606833"/>
  </w:num>
  <w:num w:numId="106">
    <w:abstractNumId w:val="606834"/>
  </w:num>
  <w:num w:numId="107">
    <w:abstractNumId w:val="606835"/>
  </w:num>
  <w:num w:numId="108">
    <w:abstractNumId w:val="606836"/>
  </w:num>
  <w:num w:numId="109">
    <w:abstractNumId w:val="606837"/>
  </w:num>
  <w:num w:numId="110">
    <w:abstractNumId w:val="606838"/>
  </w:num>
  <w:num w:numId="111">
    <w:abstractNumId w:val="606839"/>
  </w:num>
  <w:num w:numId="112">
    <w:abstractNumId w:val="606840"/>
  </w:num>
  <w:num w:numId="113">
    <w:abstractNumId w:val="606841"/>
  </w:num>
  <w:num w:numId="114">
    <w:abstractNumId w:val="606842"/>
  </w:num>
  <w:num w:numId="115">
    <w:abstractNumId w:val="606843"/>
  </w:num>
  <w:num w:numId="116">
    <w:abstractNumId w:val="606844"/>
  </w:num>
  <w:num w:numId="117">
    <w:abstractNumId w:val="606845"/>
  </w:num>
  <w:num w:numId="118">
    <w:abstractNumId w:val="606846"/>
  </w:num>
  <w:num w:numId="119">
    <w:abstractNumId w:val="606847"/>
  </w:num>
  <w:num w:numId="120">
    <w:abstractNumId w:val="606848"/>
  </w:num>
  <w:num w:numId="121">
    <w:abstractNumId w:val="606849"/>
  </w:num>
  <w:num w:numId="122">
    <w:abstractNumId w:val="606850"/>
  </w:num>
  <w:num w:numId="123">
    <w:abstractNumId w:val="606851"/>
  </w:num>
  <w:num w:numId="124">
    <w:abstractNumId w:val="606852"/>
  </w:num>
  <w:num w:numId="125">
    <w:abstractNumId w:val="606853"/>
  </w:num>
  <w:num w:numId="126">
    <w:abstractNumId w:val="606854"/>
  </w:num>
  <w:num w:numId="127">
    <w:abstractNumId w:val="606855"/>
  </w:num>
  <w:num w:numId="128">
    <w:abstractNumId w:val="606856"/>
  </w:num>
  <w:num w:numId="129">
    <w:abstractNumId w:val="606857"/>
  </w:num>
  <w:num w:numId="130">
    <w:abstractNumId w:val="606858"/>
  </w:num>
  <w:num w:numId="131">
    <w:abstractNumId w:val="606859"/>
  </w:num>
  <w:num w:numId="132">
    <w:abstractNumId w:val="606860"/>
  </w:num>
  <w:num w:numId="133">
    <w:abstractNumId w:val="606861"/>
  </w:num>
  <w:num w:numId="134">
    <w:abstractNumId w:val="606862"/>
  </w:num>
  <w:num w:numId="135">
    <w:abstractNumId w:val="606863"/>
  </w:num>
  <w:num w:numId="136">
    <w:abstractNumId w:val="606864"/>
  </w:num>
  <w:num w:numId="137">
    <w:abstractNumId w:val="606865"/>
  </w:num>
  <w:num w:numId="138">
    <w:abstractNumId w:val="606866"/>
  </w:num>
  <w:num w:numId="139">
    <w:abstractNumId w:val="606867"/>
  </w:num>
  <w:num w:numId="140">
    <w:abstractNumId w:val="606868"/>
  </w:num>
  <w:num w:numId="141">
    <w:abstractNumId w:val="606869"/>
  </w:num>
  <w:num w:numId="142">
    <w:abstractNumId w:val="606870"/>
  </w:num>
  <w:num w:numId="143">
    <w:abstractNumId w:val="606871"/>
  </w:num>
  <w:num w:numId="144">
    <w:abstractNumId w:val="606872"/>
  </w:num>
  <w:num w:numId="145">
    <w:abstractNumId w:val="606873"/>
  </w:num>
  <w:num w:numId="146">
    <w:abstractNumId w:val="606874"/>
  </w:num>
  <w:num w:numId="147">
    <w:abstractNumId w:val="606875"/>
  </w:num>
  <w:num w:numId="148">
    <w:abstractNumId w:val="606876"/>
  </w:num>
  <w:num w:numId="149">
    <w:abstractNumId w:val="606877"/>
  </w:num>
  <w:num w:numId="150">
    <w:abstractNumId w:val="606878"/>
  </w:num>
  <w:num w:numId="151">
    <w:abstractNumId w:val="606879"/>
  </w:num>
  <w:num w:numId="152">
    <w:abstractNumId w:val="606880"/>
  </w:num>
  <w:num w:numId="153">
    <w:abstractNumId w:val="606881"/>
  </w:num>
  <w:num w:numId="154">
    <w:abstractNumId w:val="606882"/>
  </w:num>
  <w:num w:numId="155">
    <w:abstractNumId w:val="606883"/>
  </w:num>
  <w:num w:numId="156">
    <w:abstractNumId w:val="606884"/>
  </w:num>
  <w:num w:numId="157">
    <w:abstractNumId w:val="606885"/>
  </w:num>
  <w:num w:numId="158">
    <w:abstractNumId w:val="606886"/>
  </w:num>
  <w:num w:numId="159">
    <w:abstractNumId w:val="606887"/>
  </w:num>
  <w:num w:numId="160">
    <w:abstractNumId w:val="606888"/>
  </w:num>
  <w:num w:numId="161">
    <w:abstractNumId w:val="606889"/>
  </w:num>
  <w:num w:numId="162">
    <w:abstractNumId w:val="606890"/>
  </w:num>
  <w:num w:numId="163">
    <w:abstractNumId w:val="606891"/>
  </w:num>
  <w:num w:numId="164">
    <w:abstractNumId w:val="606892"/>
  </w:num>
  <w:num w:numId="165">
    <w:abstractNumId w:val="606893"/>
  </w:num>
  <w:num w:numId="166">
    <w:abstractNumId w:val="606894"/>
  </w:num>
  <w:num w:numId="167">
    <w:abstractNumId w:val="606895"/>
  </w:num>
  <w:num w:numId="168">
    <w:abstractNumId w:val="606896"/>
  </w:num>
  <w:num w:numId="169">
    <w:abstractNumId w:val="606897"/>
  </w:num>
  <w:num w:numId="170">
    <w:abstractNumId w:val="606898"/>
  </w:num>
  <w:num w:numId="171">
    <w:abstractNumId w:val="606899"/>
  </w:num>
  <w:num w:numId="172">
    <w:abstractNumId w:val="606900"/>
  </w:num>
  <w:num w:numId="173">
    <w:abstractNumId w:val="606901"/>
  </w:num>
  <w:num w:numId="174">
    <w:abstractNumId w:val="606902"/>
  </w:num>
  <w:num w:numId="175">
    <w:abstractNumId w:val="606903"/>
  </w:num>
  <w:num w:numId="176">
    <w:abstractNumId w:val="606904"/>
  </w:num>
  <w:num w:numId="177">
    <w:abstractNumId w:val="606905"/>
  </w:num>
  <w:num w:numId="178">
    <w:abstractNumId w:val="606906"/>
  </w:num>
  <w:num w:numId="179">
    <w:abstractNumId w:val="606907"/>
  </w:num>
  <w:num w:numId="180">
    <w:abstractNumId w:val="606908"/>
  </w:num>
  <w:num w:numId="181">
    <w:abstractNumId w:val="606909"/>
  </w:num>
  <w:num w:numId="182">
    <w:abstractNumId w:val="606910"/>
  </w:num>
  <w:num w:numId="183">
    <w:abstractNumId w:val="606911"/>
  </w:num>
  <w:num w:numId="184">
    <w:abstractNumId w:val="606912"/>
  </w:num>
  <w:num w:numId="185">
    <w:abstractNumId w:val="606913"/>
  </w:num>
  <w:num w:numId="186">
    <w:abstractNumId w:val="606914"/>
  </w:num>
  <w:num w:numId="187">
    <w:abstractNumId w:val="606915"/>
  </w:num>
  <w:num w:numId="188">
    <w:abstractNumId w:val="606916"/>
  </w:num>
  <w:num w:numId="189">
    <w:abstractNumId w:val="606917"/>
  </w:num>
  <w:num w:numId="190">
    <w:abstractNumId w:val="606918"/>
  </w:num>
  <w:num w:numId="191">
    <w:abstractNumId w:val="606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2025-12-30T10:53:50Z</dcterms:created>
  <dc:creator>Apache POI</dc:creator>
</cp:coreProperties>
</file>