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心云联动——心脏+ 数据差异探索 v1.0 技术实现指南（草稿）</w:t>
      </w:r>
    </w:p>
    <w:p>
      <w:pPr>
        <w:pStyle w:val="2"/>
        <w:spacing w:before="320" w:after="120" w:line="288" w:lineRule="auto"/>
        <w:ind w:left="0"/>
        <w:jc w:val="left"/>
        <w:outlineLvl w:val="1"/>
      </w:pPr>
      <w:bookmarkStart w:name="heading_0" w:id="0"/>
      <w:r>
        <w:rPr>
          <w:rFonts w:eastAsia="等线" w:ascii="Arial" w:cs="Arial" w:hAnsi="Arial"/>
          <w:b w:val="true"/>
          <w:sz w:val="32"/>
        </w:rPr>
        <w:t>概述</w:t>
      </w:r>
      <w:bookmarkEnd w:id="0"/>
    </w:p>
    <w:p>
      <w:pPr>
        <w:spacing w:before="120" w:after="120" w:line="288" w:lineRule="auto"/>
        <w:ind w:left="0"/>
        <w:jc w:val="left"/>
      </w:pPr>
      <w:r>
        <w:rPr>
          <w:rFonts w:eastAsia="等线" w:ascii="Arial" w:cs="Arial" w:hAnsi="Arial"/>
          <w:sz w:val="22"/>
        </w:rPr>
        <w:t>心脏+数据差异探索功能是将用户心电与体征数据转化为个性化健康洞察的关键技术实现，旨在为用户提供可理解、可行动的健康管理建议。本技术说明书详细阐述了从数据输入到算法实现、系统架构设计、质量保障及合规控制的完整技术方案。</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pStyle w:val="4"/>
              <w:spacing w:before="260" w:after="120" w:line="288" w:lineRule="auto"/>
              <w:ind w:left="0"/>
              <w:jc w:val="left"/>
              <w:outlineLvl w:val="3"/>
            </w:pPr>
            <w:bookmarkStart w:name="heading_1" w:id="1"/>
            <w:r>
              <w:rPr>
                <w:rFonts w:eastAsia="等线" w:ascii="Arial" w:cs="Arial" w:hAnsi="Arial"/>
                <w:b w:val="true"/>
                <w:sz w:val="28"/>
              </w:rPr>
              <w:t>核心技术目标</w:t>
            </w:r>
            <w:bookmarkEnd w:id="1"/>
          </w:p>
          <w:p>
            <w:pPr>
              <w:spacing w:before="120" w:after="120" w:line="288" w:lineRule="auto"/>
              <w:ind w:left="0"/>
              <w:jc w:val="left"/>
            </w:pPr>
            <w:r>
              <w:rPr>
                <w:rFonts w:eastAsia="等线" w:ascii="Arial" w:cs="Arial" w:hAnsi="Arial"/>
                <w:sz w:val="22"/>
              </w:rPr>
              <w:t>在90天内成功上线MVP版本，实现单用户时间差异计算与群体均值对比两大核心能力，验证数据差异洞察对提升用户参与度和商业转化的技术可行性。</w:t>
            </w:r>
          </w:p>
        </w:tc>
      </w:tr>
    </w:tbl>
    <w:p>
      <w:pPr>
        <w:pStyle w:val="3"/>
        <w:spacing w:before="300" w:after="120" w:line="288" w:lineRule="auto"/>
        <w:ind w:left="0"/>
        <w:jc w:val="left"/>
        <w:outlineLvl w:val="2"/>
      </w:pPr>
      <w:bookmarkStart w:name="heading_2" w:id="2"/>
      <w:r>
        <w:rPr>
          <w:rFonts w:eastAsia="等线" w:ascii="Arial" w:cs="Arial" w:hAnsi="Arial"/>
          <w:b w:val="true"/>
          <w:sz w:val="30"/>
        </w:rPr>
        <w:t>技术实现范围</w:t>
      </w:r>
      <w:bookmarkEnd w:id="2"/>
    </w:p>
    <w:p>
      <w:pPr>
        <w:spacing w:before="120" w:after="120" w:line="288" w:lineRule="auto"/>
        <w:ind w:left="0"/>
        <w:jc w:val="left"/>
      </w:pPr>
      <w:r>
        <w:rPr>
          <w:rFonts w:eastAsia="等线" w:ascii="Arial" w:cs="Arial" w:hAnsi="Arial"/>
          <w:sz w:val="22"/>
        </w:rPr>
        <w:t>本技术方案覆盖以下核心技术模块：</w:t>
      </w:r>
    </w:p>
    <w:p>
      <w:pPr>
        <w:numPr>
          <w:numId w:val="1"/>
        </w:numPr>
        <w:spacing w:before="120" w:after="120" w:line="288" w:lineRule="auto"/>
        <w:ind w:left="0"/>
        <w:jc w:val="left"/>
      </w:pPr>
      <w:r>
        <w:rPr>
          <w:rFonts w:eastAsia="等线" w:ascii="Arial" w:cs="Arial" w:hAnsi="Arial"/>
          <w:sz w:val="22"/>
        </w:rPr>
        <w:t>心电数据指标定义与数据输入规范</w:t>
      </w:r>
    </w:p>
    <w:p>
      <w:pPr>
        <w:numPr>
          <w:numId w:val="2"/>
        </w:numPr>
        <w:spacing w:before="120" w:after="120" w:line="288" w:lineRule="auto"/>
        <w:ind w:left="0"/>
        <w:jc w:val="left"/>
      </w:pPr>
      <w:r>
        <w:rPr>
          <w:rFonts w:eastAsia="等线" w:ascii="Arial" w:cs="Arial" w:hAnsi="Arial"/>
          <w:sz w:val="22"/>
        </w:rPr>
        <w:t>数据差异探索核心算法实现</w:t>
      </w:r>
    </w:p>
    <w:p>
      <w:pPr>
        <w:numPr>
          <w:numId w:val="3"/>
        </w:numPr>
        <w:spacing w:before="120" w:after="120" w:line="288" w:lineRule="auto"/>
        <w:ind w:left="0"/>
        <w:jc w:val="left"/>
      </w:pPr>
      <w:r>
        <w:rPr>
          <w:rFonts w:eastAsia="等线" w:ascii="Arial" w:cs="Arial" w:hAnsi="Arial"/>
          <w:sz w:val="22"/>
        </w:rPr>
        <w:t>系统架构设计与服务接口定义</w:t>
      </w:r>
    </w:p>
    <w:p>
      <w:pPr>
        <w:numPr>
          <w:numId w:val="4"/>
        </w:numPr>
        <w:spacing w:before="120" w:after="120" w:line="288" w:lineRule="auto"/>
        <w:ind w:left="0"/>
        <w:jc w:val="left"/>
      </w:pPr>
      <w:r>
        <w:rPr>
          <w:rFonts w:eastAsia="等线" w:ascii="Arial" w:cs="Arial" w:hAnsi="Arial"/>
          <w:sz w:val="22"/>
        </w:rPr>
        <w:t>数据质量保障与异常处理机制</w:t>
      </w:r>
    </w:p>
    <w:p>
      <w:pPr>
        <w:numPr>
          <w:numId w:val="5"/>
        </w:numPr>
        <w:spacing w:before="120" w:after="120" w:line="288" w:lineRule="auto"/>
        <w:ind w:left="0"/>
        <w:jc w:val="left"/>
      </w:pPr>
      <w:r>
        <w:rPr>
          <w:rFonts w:eastAsia="等线" w:ascii="Arial" w:cs="Arial" w:hAnsi="Arial"/>
          <w:sz w:val="22"/>
        </w:rPr>
        <w:t>医疗与法律合规技术控制措施</w:t>
      </w:r>
    </w:p>
    <w:p>
      <w:pPr>
        <w:pStyle w:val="2"/>
        <w:spacing w:before="320" w:after="120" w:line="288" w:lineRule="auto"/>
        <w:ind w:left="0"/>
        <w:jc w:val="left"/>
        <w:outlineLvl w:val="1"/>
      </w:pPr>
      <w:bookmarkStart w:name="heading_3" w:id="3"/>
      <w:r>
        <w:rPr>
          <w:rFonts w:eastAsia="等线" w:ascii="Arial" w:cs="Arial" w:hAnsi="Arial"/>
          <w:b w:val="true"/>
          <w:sz w:val="32"/>
        </w:rPr>
        <w:t>心电数据指标与数据输入规范</w:t>
      </w:r>
      <w:bookmarkEnd w:id="3"/>
    </w:p>
    <w:p>
      <w:pPr>
        <w:spacing w:before="120" w:after="120" w:line="288" w:lineRule="auto"/>
        <w:ind w:left="0"/>
        <w:jc w:val="left"/>
      </w:pPr>
      <w:r>
        <w:rPr>
          <w:rFonts w:eastAsia="等线" w:ascii="Arial" w:cs="Arial" w:hAnsi="Arial"/>
          <w:sz w:val="22"/>
        </w:rPr>
        <w:t>心脏+数据差异探索功能基于用户的核心心电与体征数据指标，构建数据差异分析引擎。以下详细定义了核心数据指标、数据输入规范及数据预处理要求。</w:t>
      </w:r>
    </w:p>
    <w:p>
      <w:pPr>
        <w:pStyle w:val="3"/>
        <w:spacing w:before="300" w:after="120" w:line="288" w:lineRule="auto"/>
        <w:ind w:left="0"/>
        <w:jc w:val="left"/>
        <w:outlineLvl w:val="2"/>
      </w:pPr>
      <w:bookmarkStart w:name="heading_4" w:id="4"/>
      <w:r>
        <w:rPr>
          <w:rFonts w:eastAsia="等线" w:ascii="Arial" w:cs="Arial" w:hAnsi="Arial"/>
          <w:b w:val="true"/>
          <w:sz w:val="30"/>
        </w:rPr>
        <w:t>核心数据指标定义</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定义与计算方式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avg_hr_rest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ecg_daily_metrics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用户日均静息心率，取用户静息状态下心率的平均值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hrv_sdnn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ecg_daily_metrics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心率变异性指标，计算正常窦性心搏间期的标准差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afib_burden_seconds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ecg_daily_metrics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房颤负荷时间，用户一天内发生房颤的总秒数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秒</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systolic_avg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bp_daily_metrics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日均收缩压，用户一天内收缩压测量值的平均值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mmHg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diastolic_avg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bp_daily_metrics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日均舒张压，用户一天内舒张压测量值的平均值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mmHg</w:t>
            </w:r>
          </w:p>
        </w:tc>
      </w:tr>
    </w:tbl>
    <w:p>
      <w:pPr>
        <w:pStyle w:val="3"/>
        <w:spacing w:before="300" w:after="120" w:line="288" w:lineRule="auto"/>
        <w:ind w:left="0"/>
        <w:jc w:val="left"/>
        <w:outlineLvl w:val="2"/>
      </w:pPr>
      <w:bookmarkStart w:name="heading_5" w:id="5"/>
      <w:r>
        <w:rPr>
          <w:rFonts w:eastAsia="等线" w:ascii="Arial" w:cs="Arial" w:hAnsi="Arial"/>
          <w:b w:val="true"/>
          <w:sz w:val="30"/>
        </w:rPr>
        <w:t>数据输入规范</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数据来源与格式</w:t>
      </w:r>
      <w:bookmarkEnd w:id="6"/>
    </w:p>
    <w:p>
      <w:pPr>
        <w:spacing w:before="120" w:after="120" w:line="288" w:lineRule="auto"/>
        <w:ind w:left="0"/>
        <w:jc w:val="left"/>
      </w:pPr>
      <w:r>
        <w:rPr>
          <w:rFonts w:eastAsia="等线" w:ascii="Arial" w:cs="Arial" w:hAnsi="Arial"/>
          <w:sz w:val="22"/>
        </w:rPr>
        <w:t>系统数据来源于以下结构化数据表，采用日粒度聚合，确保数据的准确性和可用性：</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7" w:id="7"/>
                  <w:r>
                    <w:rPr>
                      <w:rFonts w:eastAsia="等线" w:ascii="Arial" w:cs="Arial" w:hAnsi="Arial"/>
                      <w:b w:val="true"/>
                      <w:sz w:val="28"/>
                    </w:rPr>
                    <w:t>心电指标表</w:t>
                  </w:r>
                  <w:bookmarkEnd w:id="7"/>
                </w:p>
                <w:p>
                  <w:pPr>
                    <w:spacing w:before="120" w:after="120" w:line="288" w:lineRule="auto"/>
                    <w:ind w:left="0"/>
                    <w:jc w:val="left"/>
                  </w:pPr>
                  <w:r>
                    <w:rPr>
                      <w:rFonts w:eastAsia="等线" w:ascii="Arial" w:cs="Arial" w:hAnsi="Arial"/>
                      <w:sz w:val="22"/>
                    </w:rPr>
                    <w:t>ecg_daily_metrics：包含user_id, date, avg_hr_rest, hrv_sdnn, afib_burden_seconds等字段</w:t>
                  </w:r>
                </w:p>
              </w:tc>
            </w:tr>
          </w:tbl>
          <w:p/>
        </w:tc>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8" w:id="8"/>
                  <w:r>
                    <w:rPr>
                      <w:rFonts w:eastAsia="等线" w:ascii="Arial" w:cs="Arial" w:hAnsi="Arial"/>
                      <w:b w:val="true"/>
                      <w:sz w:val="28"/>
                    </w:rPr>
                    <w:t>血压指标表</w:t>
                  </w:r>
                  <w:bookmarkEnd w:id="8"/>
                </w:p>
                <w:p>
                  <w:pPr>
                    <w:spacing w:before="120" w:after="120" w:line="288" w:lineRule="auto"/>
                    <w:ind w:left="0"/>
                    <w:jc w:val="left"/>
                  </w:pPr>
                  <w:r>
                    <w:rPr>
                      <w:rFonts w:eastAsia="等线" w:ascii="Arial" w:cs="Arial" w:hAnsi="Arial"/>
                      <w:sz w:val="22"/>
                    </w:rPr>
                    <w:t>bp_daily_metrics：包含user_id, date, systolic_avg, diastolic_avg等字段</w:t>
                  </w:r>
                </w:p>
              </w:tc>
            </w:tr>
          </w:tbl>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9" w:id="9"/>
                  <w:r>
                    <w:rPr>
                      <w:rFonts w:eastAsia="等线" w:ascii="Arial" w:cs="Arial" w:hAnsi="Arial"/>
                      <w:b w:val="true"/>
                      <w:sz w:val="28"/>
                    </w:rPr>
                    <w:t>用户画像表</w:t>
                  </w:r>
                  <w:bookmarkEnd w:id="9"/>
                </w:p>
                <w:p>
                  <w:pPr>
                    <w:spacing w:before="120" w:after="120" w:line="288" w:lineRule="auto"/>
                    <w:ind w:left="0"/>
                    <w:jc w:val="left"/>
                  </w:pPr>
                  <w:r>
                    <w:rPr>
                      <w:rFonts w:eastAsia="等线" w:ascii="Arial" w:cs="Arial" w:hAnsi="Arial"/>
                      <w:sz w:val="22"/>
                    </w:rPr>
                    <w:t>user_profiles：包含user_id, birth_date, gender, known_conditions等用户属性信息</w:t>
                  </w:r>
                </w:p>
              </w:tc>
            </w:tr>
          </w:tbl>
          <w:p/>
        </w:tc>
        <w:tc>
          <w:tcPr>
            <w:tcW w:w="414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3900"/>
            </w:tblGrid>
            <w:tr>
              <w:tc>
                <w:tcPr>
                  <w:tcW w:w="390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10" w:id="10"/>
                  <w:r>
                    <w:rPr>
                      <w:rFonts w:eastAsia="等线" w:ascii="Arial" w:cs="Arial" w:hAnsi="Arial"/>
                      <w:b w:val="true"/>
                      <w:sz w:val="28"/>
                    </w:rPr>
                    <w:t>差异报告表</w:t>
                  </w:r>
                  <w:bookmarkEnd w:id="10"/>
                </w:p>
                <w:p>
                  <w:pPr>
                    <w:spacing w:before="120" w:after="120" w:line="288" w:lineRule="auto"/>
                    <w:ind w:left="0"/>
                    <w:jc w:val="left"/>
                  </w:pPr>
                  <w:r>
                    <w:rPr>
                      <w:rFonts w:eastAsia="等线" w:ascii="Arial" w:cs="Arial" w:hAnsi="Arial"/>
                      <w:sz w:val="22"/>
                    </w:rPr>
                    <w:t>user_diff_reports：存储生成的差异报告结果，用于历史回溯与审计</w:t>
                  </w:r>
                </w:p>
              </w:tc>
            </w:tr>
          </w:tbl>
          <w:p/>
        </w:tc>
      </w:tr>
    </w:tbl>
    <w:p>
      <w:pPr>
        <w:pStyle w:val="3"/>
        <w:spacing w:before="300" w:after="120" w:line="288" w:lineRule="auto"/>
        <w:ind w:left="0"/>
        <w:jc w:val="left"/>
        <w:outlineLvl w:val="2"/>
      </w:pPr>
      <w:bookmarkStart w:name="heading_11" w:id="11"/>
      <w:r>
        <w:rPr>
          <w:rFonts w:eastAsia="等线" w:ascii="Arial" w:cs="Arial" w:hAnsi="Arial"/>
          <w:b w:val="true"/>
          <w:sz w:val="30"/>
        </w:rPr>
        <w:t>数据预处理要求</w:t>
      </w:r>
      <w:bookmarkEnd w:id="11"/>
    </w:p>
    <w:p>
      <w:pPr>
        <w:spacing w:before="120" w:after="120" w:line="288" w:lineRule="auto"/>
        <w:ind w:left="0"/>
        <w:jc w:val="left"/>
      </w:pPr>
      <w:r>
        <w:rPr>
          <w:rFonts w:eastAsia="等线" w:ascii="Arial" w:cs="Arial" w:hAnsi="Arial"/>
          <w:sz w:val="22"/>
        </w:rPr>
        <w:t>为确保数据质量，所有输入数据需经过以下预处理步骤：</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b w:val="true"/>
                <w:sz w:val="22"/>
              </w:rPr>
              <w:t>数据清洗</w:t>
            </w:r>
            <w:r>
              <w:rPr>
                <w:rFonts w:eastAsia="等线" w:ascii="Arial" w:cs="Arial" w:hAnsi="Arial"/>
                <w:sz w:val="22"/>
              </w:rPr>
              <w:t>：排除明显异常值，如心率超过200或低于30的异常测量值</w:t>
            </w:r>
          </w:p>
          <w:p>
            <w:pPr>
              <w:numPr>
                <w:numId w:val="7"/>
              </w:numPr>
              <w:spacing w:before="120" w:after="120" w:line="288" w:lineRule="auto"/>
              <w:ind w:left="0"/>
              <w:jc w:val="left"/>
            </w:pPr>
            <w:r>
              <w:rPr>
                <w:rFonts w:eastAsia="等线" w:ascii="Arial" w:cs="Arial" w:hAnsi="Arial"/>
                <w:b w:val="true"/>
                <w:sz w:val="22"/>
              </w:rPr>
              <w:t>数据聚合</w:t>
            </w:r>
            <w:r>
              <w:rPr>
                <w:rFonts w:eastAsia="等线" w:ascii="Arial" w:cs="Arial" w:hAnsi="Arial"/>
                <w:sz w:val="22"/>
              </w:rPr>
              <w:t>：按日粒度聚合原始数据，确保T+1可用</w:t>
            </w:r>
          </w:p>
          <w:p>
            <w:pPr>
              <w:numPr>
                <w:numId w:val="8"/>
              </w:numPr>
              <w:spacing w:before="120" w:after="120" w:line="288" w:lineRule="auto"/>
              <w:ind w:left="0"/>
              <w:jc w:val="left"/>
            </w:pPr>
            <w:r>
              <w:rPr>
                <w:rFonts w:eastAsia="等线" w:ascii="Arial" w:cs="Arial" w:hAnsi="Arial"/>
                <w:b w:val="true"/>
                <w:sz w:val="22"/>
              </w:rPr>
              <w:t>数据完整性检查</w:t>
            </w:r>
            <w:r>
              <w:rPr>
                <w:rFonts w:eastAsia="等线" w:ascii="Arial" w:cs="Arial" w:hAnsi="Arial"/>
                <w:sz w:val="22"/>
              </w:rPr>
              <w:t>：验证关键字段的完整性，缺失值按特定规则处理</w:t>
            </w:r>
          </w:p>
          <w:p>
            <w:pPr>
              <w:numPr>
                <w:numId w:val="9"/>
              </w:numPr>
              <w:spacing w:before="120" w:after="120" w:line="288" w:lineRule="auto"/>
              <w:ind w:left="0"/>
              <w:jc w:val="left"/>
            </w:pPr>
            <w:r>
              <w:rPr>
                <w:rFonts w:eastAsia="等线" w:ascii="Arial" w:cs="Arial" w:hAnsi="Arial"/>
                <w:b w:val="true"/>
                <w:sz w:val="22"/>
              </w:rPr>
              <w:t>数据标准化</w:t>
            </w:r>
            <w:r>
              <w:rPr>
                <w:rFonts w:eastAsia="等线" w:ascii="Arial" w:cs="Arial" w:hAnsi="Arial"/>
                <w:sz w:val="22"/>
              </w:rPr>
              <w:t>：统一数据格式与单位，确保跨设备数据一致性</w:t>
            </w:r>
          </w:p>
        </w:tc>
      </w:tr>
    </w:tbl>
    <w:p>
      <w:pPr>
        <w:pStyle w:val="2"/>
        <w:spacing w:before="320" w:after="120" w:line="288" w:lineRule="auto"/>
        <w:ind w:left="0"/>
        <w:jc w:val="left"/>
        <w:outlineLvl w:val="1"/>
      </w:pPr>
      <w:bookmarkStart w:name="heading_12" w:id="12"/>
      <w:r>
        <w:rPr>
          <w:rFonts w:eastAsia="等线" w:ascii="Arial" w:cs="Arial" w:hAnsi="Arial"/>
          <w:b w:val="true"/>
          <w:sz w:val="32"/>
        </w:rPr>
        <w:t>数据差异探索核心算法实现</w:t>
      </w:r>
      <w:bookmarkEnd w:id="12"/>
    </w:p>
    <w:p>
      <w:pPr>
        <w:spacing w:before="120" w:after="120" w:line="288" w:lineRule="auto"/>
        <w:ind w:left="0"/>
        <w:jc w:val="left"/>
      </w:pPr>
      <w:r>
        <w:rPr>
          <w:rFonts w:eastAsia="等线" w:ascii="Arial" w:cs="Arial" w:hAnsi="Arial"/>
          <w:sz w:val="22"/>
        </w:rPr>
        <w:t>心脏+数据差异探索功能的核心在于实现单用户时间差异计算与群体均值对比两大算法模块。以下详细阐述算法原理、实现细节及关键参数配置。</w:t>
      </w:r>
    </w:p>
    <w:p>
      <w:pPr>
        <w:pStyle w:val="3"/>
        <w:spacing w:before="300" w:after="120" w:line="288" w:lineRule="auto"/>
        <w:ind w:left="0"/>
        <w:jc w:val="left"/>
        <w:outlineLvl w:val="2"/>
      </w:pPr>
      <w:bookmarkStart w:name="heading_13" w:id="13"/>
      <w:r>
        <w:rPr>
          <w:rFonts w:eastAsia="等线" w:ascii="Arial" w:cs="Arial" w:hAnsi="Arial"/>
          <w:b w:val="true"/>
          <w:sz w:val="30"/>
        </w:rPr>
        <w:t>单用户时间差异计算（Z-score）</w:t>
      </w:r>
      <w:bookmarkEnd w:id="13"/>
    </w:p>
    <w:p>
      <w:pPr>
        <w:spacing w:before="120" w:after="120" w:line="288" w:lineRule="auto"/>
        <w:ind w:left="0"/>
        <w:jc w:val="left"/>
      </w:pPr>
      <w:r>
        <w:rPr>
          <w:rFonts w:eastAsia="等线" w:ascii="Arial" w:cs="Arial" w:hAnsi="Arial"/>
          <w:sz w:val="22"/>
        </w:rPr>
        <w:t>Z-score算法用于度量用户近期数据与历史基线的差异程度，计算公式如下：</w:t>
      </w:r>
    </w:p>
    <w:p>
      <w:pPr>
        <w:spacing w:before="120" w:after="120" w:line="288" w:lineRule="auto"/>
        <w:ind w:left="0"/>
        <w:jc w:val="left"/>
      </w:pPr>
      <w:r>
        <w:rPr>
          <w:rFonts w:eastAsia="等线" w:ascii="Arial" w:cs="Arial" w:hAnsi="Arial"/>
          <w:sz w:val="22"/>
        </w:rPr>
      </w:r>
      <m:oMath xmlns:m="http://schemas.openxmlformats.org/officeDocument/2006/math" xmlns:mml="http://www.w3.org/1998/Math/MathML">
        <m:r>
          <w:rPr>
            <w:rFonts w:ascii="Cambria Math" w:hAnsi="Cambria Math"/>
          </w:rPr>
          <m:t>z=</m:t>
        </m:r>
        <m:d>
          <m:dPr>
            <m:sepChr m:val=","/>
          </m:dPr>
          <m:e>
            <m:sSub>
              <m:e>
                <m:r>
                  <w:rPr>
                    <w:rFonts w:ascii="Cambria Math" w:hAnsi="Cambria Math"/>
                  </w:rPr>
                  <m:t>μ</m:t>
                </m:r>
              </m:e>
              <m:sub>
                <m:r>
                  <w:rPr>
                    <w:rFonts w:ascii="Cambria Math" w:hAnsi="Cambria Math"/>
                  </w:rPr>
                  <m:t>recent</m:t>
                </m:r>
              </m:sub>
            </m:sSub>
            <m:r>
              <w:rPr>
                <w:rFonts w:ascii="Cambria Math" w:hAnsi="Cambria Math"/>
              </w:rPr>
              <m:t>-</m:t>
            </m:r>
            <m:sSub>
              <m:e>
                <m:r>
                  <w:rPr>
                    <w:rFonts w:ascii="Cambria Math" w:hAnsi="Cambria Math"/>
                  </w:rPr>
                  <m:t>μ</m:t>
                </m:r>
              </m:e>
              <m:sub>
                <m:r>
                  <w:rPr>
                    <w:rFonts w:ascii="Cambria Math" w:hAnsi="Cambria Math"/>
                  </w:rPr>
                  <m:t>baseline</m:t>
                </m:r>
              </m:sub>
            </m:sSub>
          </m:e>
        </m:d>
        <m:r>
          <w:rPr>
            <w:rFonts w:ascii="Cambria Math" w:hAnsi="Cambria Math"/>
          </w:rPr>
          <m:t>/</m:t>
        </m:r>
        <m:sSub>
          <m:e>
            <m:r>
              <w:rPr>
                <w:rFonts w:ascii="Cambria Math" w:hAnsi="Cambria Math"/>
              </w:rPr>
              <m:t>σ</m:t>
            </m:r>
          </m:e>
          <m:sub>
            <m:r>
              <w:rPr>
                <w:rFonts w:ascii="Cambria Math" w:hAnsi="Cambria Math"/>
              </w:rPr>
              <m:t>baseline</m:t>
            </m:r>
          </m:sub>
        </m:sSub>
      </m:oMath>
    </w:p>
    <w:p>
      <w:pPr>
        <w:spacing w:before="120" w:after="120" w:line="288" w:lineRule="auto"/>
        <w:ind w:left="0"/>
        <w:jc w:val="left"/>
      </w:pPr>
      <w:r>
        <w:rPr>
          <w:rFonts w:eastAsia="等线" w:ascii="Arial" w:cs="Arial" w:hAnsi="Arial"/>
          <w:sz w:val="22"/>
        </w:rPr>
        <w:t>其中：</w:t>
      </w:r>
    </w:p>
    <w:p>
      <w:pPr>
        <w:numPr>
          <w:numId w:val="10"/>
        </w:numPr>
        <w:spacing w:before="120" w:after="120" w:line="288" w:lineRule="auto"/>
        <w:ind w:left="0"/>
        <w:jc w:val="left"/>
      </w:pPr>
      <w:r>
        <w:rPr>
          <w:rFonts w:eastAsia="等线" w:ascii="Arial" w:cs="Arial" w:hAnsi="Arial"/>
          <w:sz w:val="22"/>
        </w:rPr>
        <w:t>μ</w:t>
      </w:r>
      <w:r>
        <w:rPr>
          <w:rFonts w:eastAsia="等线" w:ascii="Arial" w:cs="Arial" w:hAnsi="Arial"/>
          <w:sz w:val="22"/>
        </w:rPr>
        <w:t>recent</w:t>
      </w:r>
      <w:r>
        <w:rPr>
          <w:rFonts w:eastAsia="等线" w:ascii="Arial" w:cs="Arial" w:hAnsi="Arial"/>
          <w:sz w:val="22"/>
        </w:rPr>
        <w:t>：最近7天的指标均值（检测窗口）</w:t>
      </w:r>
    </w:p>
    <w:p>
      <w:pPr>
        <w:numPr>
          <w:numId w:val="11"/>
        </w:numPr>
        <w:spacing w:before="120" w:after="120" w:line="288" w:lineRule="auto"/>
        <w:ind w:left="0"/>
        <w:jc w:val="left"/>
      </w:pPr>
      <w:r>
        <w:rPr>
          <w:rFonts w:eastAsia="等线" w:ascii="Arial" w:cs="Arial" w:hAnsi="Arial"/>
          <w:sz w:val="22"/>
        </w:rPr>
        <w:t>μ</w:t>
      </w:r>
      <w:r>
        <w:rPr>
          <w:rFonts w:eastAsia="等线" w:ascii="Arial" w:cs="Arial" w:hAnsi="Arial"/>
          <w:sz w:val="22"/>
        </w:rPr>
        <w:t>baseline</w:t>
      </w:r>
      <w:r>
        <w:rPr>
          <w:rFonts w:eastAsia="等线" w:ascii="Arial" w:cs="Arial" w:hAnsi="Arial"/>
          <w:sz w:val="22"/>
        </w:rPr>
        <w:t>：过去30天的指标均值（基线窗口）</w:t>
      </w:r>
    </w:p>
    <w:p>
      <w:pPr>
        <w:numPr>
          <w:numId w:val="12"/>
        </w:numPr>
        <w:spacing w:before="120" w:after="120" w:line="288" w:lineRule="auto"/>
        <w:ind w:left="0"/>
        <w:jc w:val="left"/>
      </w:pPr>
      <w:r>
        <w:rPr>
          <w:rFonts w:eastAsia="等线" w:ascii="Arial" w:cs="Arial" w:hAnsi="Arial"/>
          <w:sz w:val="22"/>
        </w:rPr>
        <w:t>σ</w:t>
      </w:r>
      <w:r>
        <w:rPr>
          <w:rFonts w:eastAsia="等线" w:ascii="Arial" w:cs="Arial" w:hAnsi="Arial"/>
          <w:sz w:val="22"/>
        </w:rPr>
        <w:t>baseline</w:t>
      </w:r>
      <w:r>
        <w:rPr>
          <w:rFonts w:eastAsia="等线" w:ascii="Arial" w:cs="Arial" w:hAnsi="Arial"/>
          <w:sz w:val="22"/>
        </w:rPr>
        <w:t>：过去30天的指标标准差</w:t>
      </w:r>
    </w:p>
    <w:p>
      <w:pPr>
        <w:pStyle w:val="4"/>
        <w:spacing w:before="260" w:after="120" w:line="288" w:lineRule="auto"/>
        <w:ind w:left="0"/>
        <w:jc w:val="left"/>
        <w:outlineLvl w:val="3"/>
      </w:pPr>
      <w:bookmarkStart w:name="heading_14" w:id="14"/>
      <w:r>
        <w:rPr>
          <w:rFonts w:eastAsia="等线" w:ascii="Arial" w:cs="Arial" w:hAnsi="Arial"/>
          <w:b w:val="true"/>
          <w:sz w:val="28"/>
        </w:rPr>
        <w:t>Z-score修正策略</w:t>
      </w:r>
      <w:bookmarkEnd w:id="14"/>
    </w:p>
    <w:p>
      <w:pPr>
        <w:spacing w:before="120" w:after="120" w:line="288" w:lineRule="auto"/>
        <w:ind w:left="0"/>
        <w:jc w:val="left"/>
      </w:pPr>
      <w:r>
        <w:rPr>
          <w:rFonts w:eastAsia="等线" w:ascii="Arial" w:cs="Arial" w:hAnsi="Arial"/>
          <w:sz w:val="22"/>
        </w:rPr>
        <w:t>当基线标准差σ</w:t>
      </w:r>
      <w:r>
        <w:rPr>
          <w:rFonts w:eastAsia="等线" w:ascii="Arial" w:cs="Arial" w:hAnsi="Arial"/>
          <w:sz w:val="22"/>
        </w:rPr>
        <w:t>baseline</w:t>
      </w:r>
      <w:r>
        <w:rPr>
          <w:rFonts w:eastAsia="等线" w:ascii="Arial" w:cs="Arial" w:hAnsi="Arial"/>
          <w:sz w:val="22"/>
        </w:rPr>
        <w:t>过小时，会导致Z-score对微小波动过度敏感。实现时需采用修正策略：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R</w:t>
              <w:br w:type="textWrapping"/>
            </w:r>
            <w:r>
              <w:rPr>
                <w:rFonts w:eastAsia="Consolas" w:ascii="Consolas" w:cs="Consolas" w:hAnsi="Consolas"/>
                <w:sz w:val="22"/>
              </w:rPr>
              <w:t>def calculate_z_score(recent_mean, baseline_mean, baseline_std, min_std_threshold=2):</w:t>
              <w:br/>
              <w:t xml:space="preserve">    # 修正过小的标准差</w:t>
              <w:br/>
              <w:t xml:space="preserve">    adjusted_std = max(baseline_std, min_std_threshold)</w:t>
              <w:br/>
              <w:t xml:space="preserve">    # 计算Z-score</w:t>
              <w:br/>
              <w:t xml:space="preserve">    z_score = (recent_mean - baseline_mean) / adjusted_std</w:t>
              <w:br/>
            </w:r>
            <w:r>
              <w:rPr>
                <w:rFonts w:eastAsia="Consolas" w:ascii="Consolas" w:cs="Consolas" w:hAnsi="Consolas"/>
                <w:sz w:val="22"/>
              </w:rPr>
              <w:t xml:space="preserve">    return z_score</w:t>
            </w:r>
          </w:p>
        </w:tc>
      </w:tr>
    </w:tbl>
    <w:p>
      <w:pPr>
        <w:pStyle w:val="3"/>
        <w:spacing w:before="300" w:after="120" w:line="288" w:lineRule="auto"/>
        <w:ind w:left="0"/>
        <w:jc w:val="left"/>
        <w:outlineLvl w:val="2"/>
      </w:pPr>
      <w:bookmarkStart w:name="heading_15" w:id="15"/>
      <w:r>
        <w:rPr>
          <w:rFonts w:eastAsia="等线" w:ascii="Arial" w:cs="Arial" w:hAnsi="Arial"/>
          <w:b w:val="true"/>
          <w:sz w:val="30"/>
        </w:rPr>
        <w:t>趋势检测算法</w:t>
      </w:r>
      <w:bookmarkEnd w:id="15"/>
    </w:p>
    <w:p>
      <w:pPr>
        <w:spacing w:before="120" w:after="120" w:line="288" w:lineRule="auto"/>
        <w:ind w:left="0"/>
        <w:jc w:val="left"/>
      </w:pPr>
      <w:r>
        <w:rPr>
          <w:rFonts w:eastAsia="等线" w:ascii="Arial" w:cs="Arial" w:hAnsi="Arial"/>
          <w:sz w:val="22"/>
        </w:rPr>
        <w:t>采用简单线性回归对趋势窗口内的数据点进行拟合，检测指标的持续变化趋势：</w:t>
      </w:r>
    </w:p>
    <w:tbl>
      <w:tblPr>
        <w:tblW w:w="0" w:type="auto"/>
        <w:tblInd w:w="0" w:type="dxa"/>
        <w:tblBorders>
          <w:top w:val="single" w:color="b7edb1"/>
          <w:left w:val="single" w:color="b7edb1"/>
          <w:bottom w:val="single" w:color="b7edb1"/>
          <w:right w:val="single" w:color="b7edb1"/>
          <w:insideH w:val="single" w:color="b7edb1"/>
          <w:insideV w:val="single" w:color="b7edb1"/>
        </w:tblBorders>
        <w:tblLayout w:type="fixed"/>
      </w:tblPr>
      <w:tblGrid>
        <w:gridCol w:w="8280"/>
      </w:tblGrid>
      <w:tr>
        <w:tc>
          <w:tcPr>
            <w:tcW w:w="8280"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16" w:id="16"/>
            <w:r>
              <w:rPr>
                <w:rFonts w:eastAsia="等线" w:ascii="Arial" w:cs="Arial" w:hAnsi="Arial"/>
                <w:b w:val="true"/>
                <w:sz w:val="28"/>
              </w:rPr>
              <w:t>趋势检测实现步骤</w:t>
            </w:r>
            <w:bookmarkEnd w:id="16"/>
          </w:p>
          <w:p>
            <w:pPr>
              <w:numPr>
                <w:numId w:val="13"/>
              </w:numPr>
              <w:spacing w:before="120" w:after="120" w:line="288" w:lineRule="auto"/>
              <w:ind w:left="0"/>
              <w:jc w:val="left"/>
            </w:pPr>
            <w:r>
              <w:rPr>
                <w:rFonts w:eastAsia="等线" w:ascii="Arial" w:cs="Arial" w:hAnsi="Arial"/>
                <w:sz w:val="22"/>
              </w:rPr>
              <w:t>对最近3-5天的滚动数据进行线性回归拟合</w:t>
            </w:r>
          </w:p>
          <w:p>
            <w:pPr>
              <w:numPr>
                <w:numId w:val="14"/>
              </w:numPr>
              <w:spacing w:before="120" w:after="120" w:line="288" w:lineRule="auto"/>
              <w:ind w:left="0"/>
              <w:jc w:val="left"/>
            </w:pPr>
            <w:r>
              <w:rPr>
                <w:rFonts w:eastAsia="等线" w:ascii="Arial" w:cs="Arial" w:hAnsi="Arial"/>
                <w:sz w:val="22"/>
              </w:rPr>
              <w:t>计算回归线的斜率(slope)和显著性水平(p-value)</w:t>
            </w:r>
          </w:p>
          <w:p>
            <w:pPr>
              <w:numPr>
                <w:numId w:val="15"/>
              </w:numPr>
              <w:spacing w:before="120" w:after="120" w:line="288" w:lineRule="auto"/>
              <w:ind w:left="0"/>
              <w:jc w:val="left"/>
            </w:pPr>
            <w:r>
              <w:rPr>
                <w:rFonts w:eastAsia="等线" w:ascii="Arial" w:cs="Arial" w:hAnsi="Arial"/>
                <w:sz w:val="22"/>
              </w:rPr>
              <w:t>触发条件：斜率显著不为零(p-value &lt; 0.05)且连续N天均为同一方向变化</w:t>
            </w:r>
          </w:p>
          <w:p>
            <w:pPr>
              <w:numPr>
                <w:numId w:val="16"/>
              </w:numPr>
              <w:spacing w:before="120" w:after="120" w:line="288" w:lineRule="auto"/>
              <w:ind w:left="0"/>
              <w:jc w:val="left"/>
            </w:pPr>
            <w:r>
              <w:rPr>
                <w:rFonts w:eastAsia="等线" w:ascii="Arial" w:cs="Arial" w:hAnsi="Arial"/>
                <w:sz w:val="22"/>
              </w:rPr>
              <w:t>冷却机制：同一指标的预警3天内不重复发送</w:t>
            </w:r>
          </w:p>
        </w:tc>
      </w:tr>
    </w:tbl>
    <w:p>
      <w:pPr>
        <w:pStyle w:val="3"/>
        <w:spacing w:before="300" w:after="120" w:line="288" w:lineRule="auto"/>
        <w:ind w:left="0"/>
        <w:jc w:val="left"/>
        <w:outlineLvl w:val="2"/>
      </w:pPr>
      <w:bookmarkStart w:name="heading_17" w:id="17"/>
      <w:r>
        <w:rPr>
          <w:rFonts w:eastAsia="等线" w:ascii="Arial" w:cs="Arial" w:hAnsi="Arial"/>
          <w:b w:val="true"/>
          <w:sz w:val="30"/>
        </w:rPr>
        <w:t>群体均值对比算法</w:t>
      </w:r>
      <w:bookmarkEnd w:id="17"/>
    </w:p>
    <w:p>
      <w:pPr>
        <w:spacing w:before="120" w:after="120" w:line="288" w:lineRule="auto"/>
        <w:ind w:left="0"/>
        <w:jc w:val="left"/>
      </w:pPr>
      <w:r>
        <w:rPr>
          <w:rFonts w:eastAsia="等线" w:ascii="Arial" w:cs="Arial" w:hAnsi="Arial"/>
          <w:sz w:val="22"/>
        </w:rPr>
        <w:t>群体对比算法用于将用户数据与同特征人群进行比较，帮助用户了解自身健康指标在人群中的位置：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群体分层维度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分层标准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年龄</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18-29岁, 30-39岁, 40-49岁, 50-59岁, 60岁以上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均值、标准差、分位数(P10, P25, P50, P75, P90)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每日批处理预计算</w:t>
            </w:r>
          </w:p>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男、女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均值、标准差、分位数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每日批处理预计算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核心病史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房颤、高血压等结构化标签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均值、标准差、分位数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每日批处理预计算</w:t>
            </w:r>
          </w:p>
        </w:tc>
      </w:tr>
    </w:tbl>
    <w:p>
      <w:pPr>
        <w:pStyle w:val="3"/>
        <w:spacing w:before="300" w:after="120" w:line="288" w:lineRule="auto"/>
        <w:ind w:left="0"/>
        <w:jc w:val="left"/>
        <w:outlineLvl w:val="2"/>
      </w:pPr>
      <w:bookmarkStart w:name="heading_18" w:id="18"/>
      <w:r>
        <w:rPr>
          <w:rFonts w:eastAsia="等线" w:ascii="Arial" w:cs="Arial" w:hAnsi="Arial"/>
          <w:b w:val="true"/>
          <w:sz w:val="30"/>
        </w:rPr>
        <w:t>群体对比预计算机制</w:t>
      </w:r>
      <w:bookmarkEnd w:id="18"/>
    </w:p>
    <w:p>
      <w:pPr>
        <w:spacing w:before="120" w:after="120" w:line="288" w:lineRule="auto"/>
        <w:ind w:left="0"/>
        <w:jc w:val="left"/>
      </w:pPr>
      <w:r>
        <w:rPr>
          <w:rFonts w:eastAsia="等线" w:ascii="Arial" w:cs="Arial" w:hAnsi="Arial"/>
          <w:sz w:val="22"/>
        </w:rPr>
        <w:t>为提高系统性能，群体统计指标采用批处理预计算机制：</w:t>
      </w:r>
    </w:p>
    <w:p>
      <w:pPr>
        <w:spacing w:before="120" w:after="120" w:line="288" w:lineRule="auto"/>
        <w:ind w:left="0"/>
        <w:jc w:val="center"/>
      </w:pPr>
      <w:r>
        <w:drawing>
          <wp:inline distT="0" distR="0" distB="0" distL="0">
            <wp:extent cx="5257800" cy="2971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71800"/>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b w:val="true"/>
          <w:sz w:val="30"/>
        </w:rPr>
        <w:t>冷启动与数据稀疏性处理</w:t>
      </w:r>
      <w:bookmarkEnd w:id="19"/>
    </w:p>
    <w:p>
      <w:pPr>
        <w:spacing w:before="120" w:after="120" w:line="288" w:lineRule="auto"/>
        <w:ind w:left="0"/>
        <w:jc w:val="left"/>
      </w:pPr>
      <w:r>
        <w:rPr>
          <w:rFonts w:eastAsia="等线" w:ascii="Arial" w:cs="Arial" w:hAnsi="Arial"/>
          <w:sz w:val="22"/>
        </w:rPr>
        <w:t>针对新用户和低频用户的数据稀疏问题，实现以下处理策略：</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tblGrid>
            <w:tr>
              <w:tc>
                <w:tcPr>
                  <w:tcW w:w="3900" w:type="dxa"/>
                  <w:shd w:color="auto" w:val="clear" w:fill="f5f6f7"/>
                  <w:tcMar>
                    <w:top w:type="dxa" w:w="60"/>
                    <w:left w:type="dxa" w:w="120"/>
                    <w:bottom w:type="dxa" w:w="30"/>
                    <w:right w:type="dxa" w:w="120"/>
                  </w:tcMar>
                </w:tcPr>
                <w:p>
                  <w:pPr>
                    <w:pStyle w:val="4"/>
                    <w:spacing w:before="260" w:after="120" w:line="288" w:lineRule="auto"/>
                    <w:ind w:left="0"/>
                    <w:jc w:val="left"/>
                    <w:outlineLvl w:val="3"/>
                  </w:pPr>
                  <w:bookmarkStart w:name="heading_20" w:id="20"/>
                  <w:r>
                    <w:rPr>
                      <w:rFonts w:eastAsia="等线" w:ascii="Arial" w:cs="Arial" w:hAnsi="Arial"/>
                      <w:b w:val="true"/>
                      <w:sz w:val="28"/>
                    </w:rPr>
                    <w:t>冷启动期 (有效测量天数 &lt; 7天)</w:t>
                  </w:r>
                  <w:bookmarkEnd w:id="20"/>
                </w:p>
                <w:p>
                  <w:pPr>
                    <w:numPr>
                      <w:numId w:val="17"/>
                    </w:numPr>
                    <w:spacing w:before="120" w:after="120" w:line="288" w:lineRule="auto"/>
                    <w:ind w:left="0"/>
                    <w:jc w:val="left"/>
                  </w:pPr>
                  <w:r>
                    <w:rPr>
                      <w:rFonts w:eastAsia="等线" w:ascii="Arial" w:cs="Arial" w:hAnsi="Arial"/>
                      <w:sz w:val="22"/>
                    </w:rPr>
                    <w:t>展示"数据收集中"状态卡片</w:t>
                  </w:r>
                </w:p>
                <w:p>
                  <w:pPr>
                    <w:numPr>
                      <w:numId w:val="18"/>
                    </w:numPr>
                    <w:spacing w:before="120" w:after="120" w:line="288" w:lineRule="auto"/>
                    <w:ind w:left="0"/>
                    <w:jc w:val="left"/>
                  </w:pPr>
                  <w:r>
                    <w:rPr>
                      <w:rFonts w:eastAsia="等线" w:ascii="Arial" w:cs="Arial" w:hAnsi="Arial"/>
                      <w:sz w:val="22"/>
                    </w:rPr>
                    <w:t>不进行个人时间差异计算</w:t>
                  </w:r>
                </w:p>
                <w:p>
                  <w:pPr>
                    <w:numPr>
                      <w:numId w:val="19"/>
                    </w:numPr>
                    <w:spacing w:before="120" w:after="120" w:line="288" w:lineRule="auto"/>
                    <w:ind w:left="0"/>
                    <w:jc w:val="left"/>
                  </w:pPr>
                  <w:r>
                    <w:rPr>
                      <w:rFonts w:eastAsia="等线" w:ascii="Arial" w:cs="Arial" w:hAnsi="Arial"/>
                      <w:sz w:val="22"/>
                    </w:rPr>
                    <w:t>仅展示单次数据与群体均值对比(若用户授权)</w:t>
                  </w:r>
                </w:p>
              </w:tc>
            </w:tr>
          </w:tbl>
          <w:p/>
        </w:tc>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tblGrid>
            <w:tr>
              <w:tc>
                <w:tcPr>
                  <w:tcW w:w="3900" w:type="dxa"/>
                  <w:shd w:color="auto" w:val="clear" w:fill="f5f6f7"/>
                  <w:tcMar>
                    <w:top w:type="dxa" w:w="60"/>
                    <w:left w:type="dxa" w:w="120"/>
                    <w:bottom w:type="dxa" w:w="30"/>
                    <w:right w:type="dxa" w:w="120"/>
                  </w:tcMar>
                </w:tcPr>
                <w:p>
                  <w:pPr>
                    <w:pStyle w:val="4"/>
                    <w:spacing w:before="260" w:after="120" w:line="288" w:lineRule="auto"/>
                    <w:ind w:left="0"/>
                    <w:jc w:val="left"/>
                    <w:outlineLvl w:val="3"/>
                  </w:pPr>
                  <w:bookmarkStart w:name="heading_21" w:id="21"/>
                  <w:r>
                    <w:rPr>
                      <w:rFonts w:eastAsia="等线" w:ascii="Arial" w:cs="Arial" w:hAnsi="Arial"/>
                      <w:b w:val="true"/>
                      <w:sz w:val="28"/>
                    </w:rPr>
                    <w:t>数据稀疏期 (7 ≤ 有效测量天数 &lt; 30天)</w:t>
                  </w:r>
                  <w:bookmarkEnd w:id="21"/>
                </w:p>
                <w:p>
                  <w:pPr>
                    <w:numPr>
                      <w:numId w:val="20"/>
                    </w:numPr>
                    <w:spacing w:before="120" w:after="120" w:line="288" w:lineRule="auto"/>
                    <w:ind w:left="0"/>
                    <w:jc w:val="left"/>
                  </w:pPr>
                  <w:r>
                    <w:rPr>
                      <w:rFonts w:eastAsia="等线" w:ascii="Arial" w:cs="Arial" w:hAnsi="Arial"/>
                      <w:sz w:val="22"/>
                    </w:rPr>
                    <w:t>展示信息图标提示数据有限性</w:t>
                  </w:r>
                </w:p>
                <w:p>
                  <w:pPr>
                    <w:numPr>
                      <w:numId w:val="21"/>
                    </w:numPr>
                    <w:spacing w:before="120" w:after="120" w:line="288" w:lineRule="auto"/>
                    <w:ind w:left="0"/>
                    <w:jc w:val="left"/>
                  </w:pPr>
                  <w:r>
                    <w:rPr>
                      <w:rFonts w:eastAsia="等线" w:ascii="Arial" w:cs="Arial" w:hAnsi="Arial"/>
                      <w:sz w:val="22"/>
                    </w:rPr>
                    <w:t>API响应包含suspicious_preliminary标记</w:t>
                  </w:r>
                </w:p>
                <w:p>
                  <w:pPr>
                    <w:numPr>
                      <w:numId w:val="22"/>
                    </w:numPr>
                    <w:spacing w:before="120" w:after="120" w:line="288" w:lineRule="auto"/>
                    <w:ind w:left="0"/>
                    <w:jc w:val="left"/>
                  </w:pPr>
                  <w:r>
                    <w:rPr>
                      <w:rFonts w:eastAsia="等线" w:ascii="Arial" w:cs="Arial" w:hAnsi="Arial"/>
                      <w:sz w:val="22"/>
                    </w:rPr>
                    <w:t>文本结论前置"初步结论"限定词</w:t>
                  </w:r>
                </w:p>
              </w:tc>
            </w:tr>
          </w:tbl>
          <w:p/>
        </w:tc>
      </w:tr>
    </w:tbl>
    <w:p>
      <w:pPr>
        <w:pStyle w:val="2"/>
        <w:spacing w:before="320" w:after="120" w:line="288" w:lineRule="auto"/>
        <w:ind w:left="0"/>
        <w:jc w:val="left"/>
        <w:outlineLvl w:val="1"/>
      </w:pPr>
      <w:bookmarkStart w:name="heading_22" w:id="22"/>
      <w:r>
        <w:rPr>
          <w:rFonts w:eastAsia="等线" w:ascii="Arial" w:cs="Arial" w:hAnsi="Arial"/>
          <w:b w:val="true"/>
          <w:sz w:val="32"/>
        </w:rPr>
        <w:t>系统架构设计</w:t>
      </w:r>
      <w:bookmarkEnd w:id="22"/>
    </w:p>
    <w:p>
      <w:pPr>
        <w:spacing w:before="120" w:after="120" w:line="288" w:lineRule="auto"/>
        <w:ind w:left="0"/>
        <w:jc w:val="left"/>
      </w:pPr>
      <w:r>
        <w:rPr>
          <w:rFonts w:eastAsia="等线" w:ascii="Arial" w:cs="Arial" w:hAnsi="Arial"/>
          <w:sz w:val="22"/>
        </w:rPr>
        <w:t>心脏+数据差异探索功能采用微服务架构设计，实现数据处理、算法计算、报告生成、前端展示的完整技术链路。以下详细阐述系统架构、服务接口定义及数据存储方案。</w:t>
      </w:r>
    </w:p>
    <w:p>
      <w:pPr>
        <w:pStyle w:val="3"/>
        <w:spacing w:before="300" w:after="120" w:line="288" w:lineRule="auto"/>
        <w:ind w:left="0"/>
        <w:jc w:val="left"/>
        <w:outlineLvl w:val="2"/>
      </w:pPr>
      <w:bookmarkStart w:name="heading_23" w:id="23"/>
      <w:r>
        <w:rPr>
          <w:rFonts w:eastAsia="等线" w:ascii="Arial" w:cs="Arial" w:hAnsi="Arial"/>
          <w:b w:val="true"/>
          <w:sz w:val="30"/>
        </w:rPr>
        <w:t>整体架构设计</w:t>
      </w:r>
      <w:bookmarkEnd w:id="23"/>
    </w:p>
    <w:p>
      <w:pPr>
        <w:spacing w:before="120" w:after="120" w:line="288" w:lineRule="auto"/>
        <w:ind w:left="0"/>
        <w:jc w:val="left"/>
      </w:pPr>
      <w:r>
        <w:rPr>
          <w:rFonts w:eastAsia="等线" w:ascii="Arial" w:cs="Arial" w:hAnsi="Arial"/>
          <w:sz w:val="22"/>
        </w:rPr>
        <w:t>系统采用分层架构设计，主要包含以下几层：</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pStyle w:val="4"/>
              <w:spacing w:before="260" w:after="120" w:line="288" w:lineRule="auto"/>
              <w:ind w:left="0"/>
              <w:jc w:val="left"/>
              <w:outlineLvl w:val="3"/>
            </w:pPr>
            <w:bookmarkStart w:name="heading_24" w:id="24"/>
            <w:r>
              <w:rPr>
                <w:rFonts w:eastAsia="等线" w:ascii="Arial" w:cs="Arial" w:hAnsi="Arial"/>
                <w:b w:val="true"/>
                <w:sz w:val="28"/>
              </w:rPr>
              <w:t>系统架构层次</w:t>
            </w:r>
            <w:bookmarkEnd w:id="24"/>
          </w:p>
          <w:p>
            <w:pPr>
              <w:numPr>
                <w:numId w:val="23"/>
              </w:numPr>
              <w:spacing w:before="120" w:after="120" w:line="288" w:lineRule="auto"/>
              <w:ind w:left="0"/>
              <w:jc w:val="left"/>
            </w:pPr>
            <w:r>
              <w:rPr>
                <w:rFonts w:eastAsia="等线" w:ascii="Arial" w:cs="Arial" w:hAnsi="Arial"/>
                <w:sz w:val="22"/>
              </w:rPr>
              <w:t>数据接入层：负责原始数据的收集与预处理</w:t>
            </w:r>
          </w:p>
          <w:p>
            <w:pPr>
              <w:numPr>
                <w:numId w:val="24"/>
              </w:numPr>
              <w:spacing w:before="120" w:after="120" w:line="288" w:lineRule="auto"/>
              <w:ind w:left="0"/>
              <w:jc w:val="left"/>
            </w:pPr>
            <w:r>
              <w:rPr>
                <w:rFonts w:eastAsia="等线" w:ascii="Arial" w:cs="Arial" w:hAnsi="Arial"/>
                <w:sz w:val="22"/>
              </w:rPr>
              <w:t>数据存储层：负责结构化与非结构化数据的存储</w:t>
            </w:r>
          </w:p>
          <w:p>
            <w:pPr>
              <w:numPr>
                <w:numId w:val="25"/>
              </w:numPr>
              <w:spacing w:before="120" w:after="120" w:line="288" w:lineRule="auto"/>
              <w:ind w:left="0"/>
              <w:jc w:val="left"/>
            </w:pPr>
            <w:r>
              <w:rPr>
                <w:rFonts w:eastAsia="等线" w:ascii="Arial" w:cs="Arial" w:hAnsi="Arial"/>
                <w:sz w:val="22"/>
              </w:rPr>
              <w:t>算法服务层：实现核心差异计算与分析算法</w:t>
            </w:r>
          </w:p>
          <w:p>
            <w:pPr>
              <w:numPr>
                <w:numId w:val="26"/>
              </w:numPr>
              <w:spacing w:before="120" w:after="120" w:line="288" w:lineRule="auto"/>
              <w:ind w:left="0"/>
              <w:jc w:val="left"/>
            </w:pPr>
            <w:r>
              <w:rPr>
                <w:rFonts w:eastAsia="等线" w:ascii="Arial" w:cs="Arial" w:hAnsi="Arial"/>
                <w:sz w:val="22"/>
              </w:rPr>
              <w:t>API网关层：提供统一的接口访问与权限控制</w:t>
            </w:r>
          </w:p>
          <w:p>
            <w:pPr>
              <w:numPr>
                <w:numId w:val="27"/>
              </w:numPr>
              <w:spacing w:before="120" w:after="120" w:line="288" w:lineRule="auto"/>
              <w:ind w:left="0"/>
              <w:jc w:val="left"/>
            </w:pPr>
            <w:r>
              <w:rPr>
                <w:rFonts w:eastAsia="等线" w:ascii="Arial" w:cs="Arial" w:hAnsi="Arial"/>
                <w:sz w:val="22"/>
              </w:rPr>
              <w:t>应用层：前端应用与用户界面</w:t>
            </w:r>
          </w:p>
          <w:p>
            <w:pPr>
              <w:numPr>
                <w:numId w:val="28"/>
              </w:numPr>
              <w:spacing w:before="120" w:after="120" w:line="288" w:lineRule="auto"/>
              <w:ind w:left="0"/>
              <w:jc w:val="left"/>
            </w:pPr>
            <w:r>
              <w:rPr>
                <w:rFonts w:eastAsia="等线" w:ascii="Arial" w:cs="Arial" w:hAnsi="Arial"/>
                <w:sz w:val="22"/>
              </w:rPr>
              <w:t>监控与日志层：系统监控、日志收集与分析</w:t>
            </w:r>
          </w:p>
        </w:tc>
      </w:tr>
    </w:tbl>
    <w:p>
      <w:pPr>
        <w:pStyle w:val="3"/>
        <w:spacing w:before="300" w:after="120" w:line="288" w:lineRule="auto"/>
        <w:ind w:left="0"/>
        <w:jc w:val="left"/>
        <w:outlineLvl w:val="2"/>
      </w:pPr>
      <w:bookmarkStart w:name="heading_25" w:id="25"/>
      <w:r>
        <w:rPr>
          <w:rFonts w:eastAsia="等线" w:ascii="Arial" w:cs="Arial" w:hAnsi="Arial"/>
          <w:b w:val="true"/>
          <w:sz w:val="30"/>
        </w:rPr>
        <w:t>核心服务设计</w:t>
      </w:r>
      <w:bookmarkEnd w:id="25"/>
    </w:p>
    <w:p>
      <w:pPr>
        <w:spacing w:before="120" w:after="120" w:line="288" w:lineRule="auto"/>
        <w:ind w:left="0"/>
        <w:jc w:val="left"/>
      </w:pPr>
      <w:r>
        <w:rPr>
          <w:rFonts w:eastAsia="等线" w:ascii="Arial" w:cs="Arial" w:hAnsi="Arial"/>
          <w:sz w:val="22"/>
        </w:rPr>
        <w:t>核心服务diff-service提供两大核心能力：实时报告生成与批量报告处理。</w:t>
      </w:r>
    </w:p>
    <w:p>
      <w:pPr>
        <w:pStyle w:val="4"/>
        <w:spacing w:before="260" w:after="120" w:line="288" w:lineRule="auto"/>
        <w:ind w:left="0"/>
        <w:jc w:val="left"/>
        <w:outlineLvl w:val="3"/>
      </w:pPr>
      <w:bookmarkStart w:name="heading_26" w:id="26"/>
      <w:r>
        <w:rPr>
          <w:rFonts w:eastAsia="等线" w:ascii="Arial" w:cs="Arial" w:hAnsi="Arial"/>
          <w:b w:val="true"/>
          <w:sz w:val="28"/>
        </w:rPr>
        <w:t>实时报告生成服务</w:t>
      </w:r>
      <w:bookmarkEnd w:id="26"/>
    </w:p>
    <w:p>
      <w:pPr>
        <w:spacing w:before="120" w:after="120" w:line="288" w:lineRule="auto"/>
        <w:ind w:left="0"/>
        <w:jc w:val="left"/>
      </w:pPr>
      <w:r>
        <w:rPr>
          <w:rFonts w:eastAsia="等线" w:ascii="Arial" w:cs="Arial" w:hAnsi="Arial"/>
          <w:sz w:val="22"/>
        </w:rPr>
        <w:t>API端点：</w:t>
      </w:r>
      <w:r>
        <w:rPr>
          <w:rFonts w:eastAsia="Consolas" w:ascii="Consolas" w:cs="Consolas" w:hAnsi="Consolas"/>
          <w:sz w:val="22"/>
          <w:shd w:fill="EFF0F1"/>
        </w:rPr>
        <w:t>POST /api/v1/diff/report/generate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ProtoBuf</w:t>
              <w:br w:type="textWrapping"/>
            </w:r>
            <w:r>
              <w:rPr>
                <w:rFonts w:eastAsia="Consolas" w:ascii="Consolas" w:cs="Consolas" w:hAnsi="Consolas"/>
                <w:sz w:val="22"/>
              </w:rPr>
              <w:t>{"user_id": 12345,</w:t>
              <w:br/>
              <w:t xml:space="preserve"> "metrics": ["avg_hr", "hrv", "sbp"],</w:t>
              <w:br/>
              <w:t xml:space="preserve"> "baseline_days": 30,</w:t>
              <w:br/>
              <w:t xml:space="preserve"> "recent_days": 7,</w:t>
              <w:br/>
            </w:r>
            <w:r>
              <w:rPr>
                <w:rFonts w:eastAsia="Consolas" w:ascii="Consolas" w:cs="Consolas" w:hAnsi="Consolas"/>
                <w:sz w:val="22"/>
              </w:rPr>
              <w:t xml:space="preserve"> "cohort": {"age_range":"40-59","sex":"F","has_history":true}}</w:t>
            </w:r>
          </w:p>
        </w:tc>
      </w:tr>
    </w:tbl>
    <w:p>
      <w:pPr>
        <w:spacing w:before="120" w:after="120" w:line="288" w:lineRule="auto"/>
        <w:ind w:left="0"/>
        <w:jc w:val="left"/>
      </w:pPr>
      <w:r>
        <w:rPr>
          <w:rFonts w:eastAsia="等线" w:ascii="Arial" w:cs="Arial" w:hAnsi="Arial"/>
          <w:sz w:val="22"/>
        </w:rPr>
        <w:t>响应示例：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ProtoBuf</w:t>
              <w:br w:type="textWrapping"/>
            </w:r>
            <w:r>
              <w:rPr>
                <w:rFonts w:eastAsia="Consolas" w:ascii="Consolas" w:cs="Consolas" w:hAnsi="Consolas"/>
                <w:sz w:val="22"/>
              </w:rPr>
              <w:t>{"user_id": 12345,</w:t>
              <w:br/>
              <w:t xml:space="preserve"> "generated_at": "2025-09-22T08:00:00Z",</w:t>
              <w:br/>
              <w:t xml:space="preserve"> "reports": [</w:t>
              <w:br/>
              <w:t xml:space="preserve"> {</w:t>
              <w:br/>
              <w:t xml:space="preserve"> "metric":"avg_hr",</w:t>
              <w:br/>
              <w:t xml:space="preserve"> "baseline_mean":72,</w:t>
              <w:br/>
              <w:t xml:space="preserve"> "baseline_std":4.5,</w:t>
              <w:br/>
              <w:t xml:space="preserve"> "recent_mean":78,</w:t>
              <w:br/>
              <w:t xml:space="preserve"> "z_score":1.33,</w:t>
              <w:br/>
              <w:t xml:space="preserve"> "flag":"suspicious",</w:t>
              <w:br/>
              <w:t xml:space="preserve"> "text_summary":"最近7天平均心率比过去30天高8%，属于可疑升高"</w:t>
              <w:br/>
              <w:t xml:space="preserve"> }</w:t>
              <w:br/>
              <w:t xml:space="preserve"> ],</w:t>
              <w:br/>
            </w:r>
            <w:r>
              <w:rPr>
                <w:rFonts w:eastAsia="Consolas" w:ascii="Consolas" w:cs="Consolas" w:hAnsi="Consolas"/>
                <w:sz w:val="22"/>
              </w:rPr>
              <w:t xml:space="preserve"> "cohort_percentile": 35}</w:t>
            </w:r>
          </w:p>
        </w:tc>
      </w:tr>
    </w:tbl>
    <w:p>
      <w:pPr>
        <w:pStyle w:val="4"/>
        <w:spacing w:before="260" w:after="120" w:line="288" w:lineRule="auto"/>
        <w:ind w:left="0"/>
        <w:jc w:val="left"/>
        <w:outlineLvl w:val="3"/>
      </w:pPr>
      <w:bookmarkStart w:name="heading_27" w:id="27"/>
      <w:r>
        <w:rPr>
          <w:rFonts w:eastAsia="等线" w:ascii="Arial" w:cs="Arial" w:hAnsi="Arial"/>
          <w:b w:val="true"/>
          <w:sz w:val="28"/>
        </w:rPr>
        <w:t>批量报告处理服务</w:t>
      </w:r>
      <w:bookmarkEnd w:id="27"/>
    </w:p>
    <w:p>
      <w:pPr>
        <w:spacing w:before="120" w:after="120" w:line="288" w:lineRule="auto"/>
        <w:ind w:left="0"/>
        <w:jc w:val="left"/>
      </w:pPr>
      <w:r>
        <w:rPr>
          <w:rFonts w:eastAsia="等线" w:ascii="Arial" w:cs="Arial" w:hAnsi="Arial"/>
          <w:sz w:val="22"/>
        </w:rPr>
        <w:t>API端点：</w:t>
      </w:r>
      <w:r>
        <w:rPr>
          <w:rFonts w:eastAsia="Consolas" w:ascii="Consolas" w:cs="Consolas" w:hAnsi="Consolas"/>
          <w:sz w:val="22"/>
          <w:shd w:fill="EFF0F1"/>
        </w:rPr>
        <w:t>POST /api/v1/diff/report/batch</w:t>
      </w:r>
    </w:p>
    <w:p>
      <w:pPr>
        <w:spacing w:before="120" w:after="120" w:line="288" w:lineRule="auto"/>
        <w:ind w:left="0"/>
        <w:jc w:val="left"/>
      </w:pPr>
      <w:r>
        <w:rPr>
          <w:rFonts w:eastAsia="等线" w:ascii="Arial" w:cs="Arial" w:hAnsi="Arial"/>
          <w:sz w:val="22"/>
        </w:rPr>
        <w:t>功能：按计划批量处理用户报告，支持按用户分群、时间范围等条件批量生成报告。</w:t>
      </w:r>
    </w:p>
    <w:p>
      <w:pPr>
        <w:pStyle w:val="3"/>
        <w:spacing w:before="300" w:after="120" w:line="288" w:lineRule="auto"/>
        <w:ind w:left="0"/>
        <w:jc w:val="left"/>
        <w:outlineLvl w:val="2"/>
      </w:pPr>
      <w:bookmarkStart w:name="heading_28" w:id="28"/>
      <w:r>
        <w:rPr>
          <w:rFonts w:eastAsia="等线" w:ascii="Arial" w:cs="Arial" w:hAnsi="Arial"/>
          <w:b w:val="true"/>
          <w:sz w:val="30"/>
        </w:rPr>
        <w:t>数据存储方案</w:t>
      </w:r>
      <w:bookmarkEnd w:id="28"/>
    </w:p>
    <w:p>
      <w:pPr>
        <w:spacing w:before="120" w:after="120" w:line="288" w:lineRule="auto"/>
        <w:ind w:left="0"/>
        <w:jc w:val="left"/>
      </w:pPr>
      <w:r>
        <w:rPr>
          <w:rFonts w:eastAsia="等线" w:ascii="Arial" w:cs="Arial" w:hAnsi="Arial"/>
          <w:sz w:val="22"/>
        </w:rPr>
        <w:t>系统采用多存储引擎设计，满足不同场景的数据存储需求：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存储引擎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访问特点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结构化指标数据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存储用户每日聚合指标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高并发读，低写入频率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差异报告数据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MongoDB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存储生成的差异报告</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文档存储，支持复杂查询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群体统计数据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缓存群体统计结果</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高并发读，定时更新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原始时序数据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InfluxDB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存储原始时序数据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高写入性能，支持时序查询</w:t>
            </w:r>
          </w:p>
        </w:tc>
      </w:tr>
    </w:tbl>
    <w:p>
      <w:pPr>
        <w:pStyle w:val="3"/>
        <w:spacing w:before="300" w:after="120" w:line="288" w:lineRule="auto"/>
        <w:ind w:left="0"/>
        <w:jc w:val="left"/>
        <w:outlineLvl w:val="2"/>
      </w:pPr>
      <w:bookmarkStart w:name="heading_29" w:id="29"/>
      <w:r>
        <w:rPr>
          <w:rFonts w:eastAsia="等线" w:ascii="Arial" w:cs="Arial" w:hAnsi="Arial"/>
          <w:b w:val="true"/>
          <w:sz w:val="30"/>
        </w:rPr>
        <w:t>实时与批量计算流程</w:t>
      </w:r>
      <w:bookmarkEnd w:id="29"/>
    </w:p>
    <w:p>
      <w:pPr>
        <w:spacing w:before="120" w:after="120" w:line="288" w:lineRule="auto"/>
        <w:ind w:left="0"/>
        <w:jc w:val="left"/>
      </w:pPr>
      <w:r>
        <w:rPr>
          <w:rFonts w:eastAsia="等线" w:ascii="Arial" w:cs="Arial" w:hAnsi="Arial"/>
          <w:sz w:val="22"/>
        </w:rPr>
        <w:t>系统采用实时计算与批量计算相结合的方式处理数据：</w:t>
      </w:r>
    </w:p>
    <w:p>
      <w:pPr>
        <w:spacing w:before="120" w:after="120" w:line="288" w:lineRule="auto"/>
        <w:ind w:left="0"/>
        <w:jc w:val="center"/>
      </w:pPr>
      <w:r>
        <w:drawing>
          <wp:inline distT="0" distR="0" distB="0" distL="0">
            <wp:extent cx="5257800" cy="2971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71800"/>
                    </a:xfrm>
                    <a:prstGeom prst="rect">
                      <a:avLst/>
                    </a:prstGeom>
                  </pic:spPr>
                </pic:pic>
              </a:graphicData>
            </a:graphic>
          </wp:inline>
        </w:drawing>
      </w:r>
    </w:p>
    <w:p>
      <w:pPr>
        <w:pStyle w:val="2"/>
        <w:spacing w:before="320" w:after="120" w:line="288" w:lineRule="auto"/>
        <w:ind w:left="0"/>
        <w:jc w:val="left"/>
        <w:outlineLvl w:val="1"/>
      </w:pPr>
      <w:bookmarkStart w:name="heading_30" w:id="30"/>
      <w:r>
        <w:rPr>
          <w:rFonts w:eastAsia="等线" w:ascii="Arial" w:cs="Arial" w:hAnsi="Arial"/>
          <w:b w:val="true"/>
          <w:sz w:val="32"/>
        </w:rPr>
        <w:t>质量保障与异常处理机制</w:t>
      </w:r>
      <w:bookmarkEnd w:id="30"/>
    </w:p>
    <w:p>
      <w:pPr>
        <w:spacing w:before="120" w:after="120" w:line="288" w:lineRule="auto"/>
        <w:ind w:left="0"/>
        <w:jc w:val="left"/>
      </w:pPr>
      <w:r>
        <w:rPr>
          <w:rFonts w:eastAsia="等线" w:ascii="Arial" w:cs="Arial" w:hAnsi="Arial"/>
          <w:sz w:val="22"/>
        </w:rPr>
        <w:t>为确保数据差异探索功能的准确性和可靠性，需建立完善的质量保障体系和异常处理机制。以下详细阐述数据质量控制、系统性能保障及异常处理策略。</w:t>
      </w:r>
    </w:p>
    <w:p>
      <w:pPr>
        <w:pStyle w:val="3"/>
        <w:spacing w:before="300" w:after="120" w:line="288" w:lineRule="auto"/>
        <w:ind w:left="0"/>
        <w:jc w:val="left"/>
        <w:outlineLvl w:val="2"/>
      </w:pPr>
      <w:bookmarkStart w:name="heading_31" w:id="31"/>
      <w:r>
        <w:rPr>
          <w:rFonts w:eastAsia="等线" w:ascii="Arial" w:cs="Arial" w:hAnsi="Arial"/>
          <w:b w:val="true"/>
          <w:sz w:val="30"/>
        </w:rPr>
        <w:t>数据质量控制</w:t>
      </w:r>
      <w:bookmarkEnd w:id="31"/>
    </w:p>
    <w:p>
      <w:pPr>
        <w:spacing w:before="120" w:after="120" w:line="288" w:lineRule="auto"/>
        <w:ind w:left="0"/>
        <w:jc w:val="left"/>
      </w:pPr>
      <w:r>
        <w:rPr>
          <w:rFonts w:eastAsia="等线" w:ascii="Arial" w:cs="Arial" w:hAnsi="Arial"/>
          <w:sz w:val="22"/>
        </w:rPr>
        <w:t>数据质量控制贯穿数据生命周期的各个阶段，从数据采集到最终报告生成：</w:t>
      </w:r>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ef1f1"/>
            <w:tcMar>
              <w:top w:type="dxa" w:w="60"/>
              <w:left w:type="dxa" w:w="120"/>
              <w:bottom w:type="dxa" w:w="30"/>
              <w:right w:type="dxa" w:w="120"/>
            </w:tcMar>
          </w:tcPr>
          <w:p>
            <w:pPr>
              <w:pStyle w:val="4"/>
              <w:spacing w:before="260" w:after="120" w:line="288" w:lineRule="auto"/>
              <w:ind w:left="0"/>
              <w:jc w:val="left"/>
              <w:outlineLvl w:val="3"/>
            </w:pPr>
            <w:bookmarkStart w:name="heading_32" w:id="32"/>
            <w:r>
              <w:rPr>
                <w:rFonts w:eastAsia="等线" w:ascii="Arial" w:cs="Arial" w:hAnsi="Arial"/>
                <w:b w:val="true"/>
                <w:sz w:val="28"/>
              </w:rPr>
              <w:t>数据质量控制框架</w:t>
            </w:r>
            <w:bookmarkEnd w:id="32"/>
          </w:p>
          <w:p>
            <w:pPr>
              <w:spacing w:before="120" w:after="120" w:line="288" w:lineRule="auto"/>
              <w:ind w:left="0"/>
              <w:jc w:val="left"/>
            </w:pPr>
          </w:p>
          <w:p>
            <w:pPr>
              <w:numPr>
                <w:numId w:val="29"/>
              </w:numPr>
              <w:spacing w:before="120" w:after="120" w:line="288" w:lineRule="auto"/>
              <w:ind w:left="453"/>
              <w:jc w:val="left"/>
            </w:pPr>
            <w:r>
              <w:rPr>
                <w:rFonts w:eastAsia="等线" w:ascii="Arial" w:cs="Arial" w:hAnsi="Arial"/>
                <w:b w:val="true"/>
                <w:sz w:val="22"/>
              </w:rPr>
              <w:t>数据采集阶段</w:t>
            </w:r>
            <w:r>
              <w:rPr>
                <w:rFonts w:eastAsia="等线" w:ascii="Arial" w:cs="Arial" w:hAnsi="Arial"/>
                <w:sz w:val="22"/>
              </w:rPr>
              <w:t>：设备数据校验、采样率控制、数据完整性检查</w:t>
            </w:r>
          </w:p>
          <w:p>
            <w:pPr>
              <w:numPr>
                <w:numId w:val="30"/>
              </w:numPr>
              <w:spacing w:before="120" w:after="120" w:line="288" w:lineRule="auto"/>
              <w:ind w:left="453"/>
              <w:jc w:val="left"/>
            </w:pPr>
            <w:r>
              <w:rPr>
                <w:rFonts w:eastAsia="等线" w:ascii="Arial" w:cs="Arial" w:hAnsi="Arial"/>
                <w:b w:val="true"/>
                <w:sz w:val="22"/>
              </w:rPr>
              <w:t>数据预处理阶段</w:t>
            </w:r>
            <w:r>
              <w:rPr>
                <w:rFonts w:eastAsia="等线" w:ascii="Arial" w:cs="Arial" w:hAnsi="Arial"/>
                <w:sz w:val="22"/>
              </w:rPr>
              <w:t>：异常值检测与处理、缺失值插补、数据标准化</w:t>
            </w:r>
          </w:p>
          <w:p>
            <w:pPr>
              <w:numPr>
                <w:numId w:val="31"/>
              </w:numPr>
              <w:spacing w:before="120" w:after="120" w:line="288" w:lineRule="auto"/>
              <w:ind w:left="453"/>
              <w:jc w:val="left"/>
            </w:pPr>
            <w:r>
              <w:rPr>
                <w:rFonts w:eastAsia="等线" w:ascii="Arial" w:cs="Arial" w:hAnsi="Arial"/>
                <w:b w:val="true"/>
                <w:sz w:val="22"/>
              </w:rPr>
              <w:t>算法计算阶段</w:t>
            </w:r>
            <w:r>
              <w:rPr>
                <w:rFonts w:eastAsia="等线" w:ascii="Arial" w:cs="Arial" w:hAnsi="Arial"/>
                <w:sz w:val="22"/>
              </w:rPr>
              <w:t>：计算结果校验、阈值检查、一致性验证</w:t>
            </w:r>
          </w:p>
          <w:p>
            <w:pPr>
              <w:numPr>
                <w:numId w:val="32"/>
              </w:numPr>
              <w:spacing w:before="120" w:after="120" w:line="288" w:lineRule="auto"/>
              <w:ind w:left="453"/>
              <w:jc w:val="left"/>
            </w:pPr>
            <w:r>
              <w:rPr>
                <w:rFonts w:eastAsia="等线" w:ascii="Arial" w:cs="Arial" w:hAnsi="Arial"/>
                <w:b w:val="true"/>
                <w:sz w:val="22"/>
              </w:rPr>
              <w:t>报告生成阶段</w:t>
            </w:r>
            <w:r>
              <w:rPr>
                <w:rFonts w:eastAsia="等线" w:ascii="Arial" w:cs="Arial" w:hAnsi="Arial"/>
                <w:sz w:val="22"/>
              </w:rPr>
              <w:t>：结果合理性检查、边界条件验证、输出格式化</w:t>
            </w:r>
          </w:p>
        </w:tc>
      </w:tr>
    </w:tbl>
    <w:p>
      <w:pPr>
        <w:pStyle w:val="3"/>
        <w:spacing w:before="300" w:after="120" w:line="288" w:lineRule="auto"/>
        <w:ind w:left="0"/>
        <w:jc w:val="left"/>
        <w:outlineLvl w:val="2"/>
      </w:pPr>
      <w:bookmarkStart w:name="heading_33" w:id="33"/>
      <w:r>
        <w:rPr>
          <w:rFonts w:eastAsia="等线" w:ascii="Arial" w:cs="Arial" w:hAnsi="Arial"/>
          <w:b w:val="true"/>
          <w:sz w:val="30"/>
        </w:rPr>
        <w:t>异常值检测与处理</w:t>
      </w:r>
      <w:bookmarkEnd w:id="33"/>
    </w:p>
    <w:p>
      <w:pPr>
        <w:spacing w:before="120" w:after="120" w:line="288" w:lineRule="auto"/>
        <w:ind w:left="0"/>
        <w:jc w:val="left"/>
      </w:pPr>
      <w:r>
        <w:rPr>
          <w:rFonts w:eastAsia="等线" w:ascii="Arial" w:cs="Arial" w:hAnsi="Arial"/>
          <w:sz w:val="22"/>
        </w:rPr>
        <w:t>实现多层次的异常值检测机制，确保算法输入数据的质量：</w:t>
      </w:r>
    </w:p>
    <w:p>
      <w:pPr>
        <w:pStyle w:val="4"/>
        <w:spacing w:before="260" w:after="120" w:line="288" w:lineRule="auto"/>
        <w:ind w:left="0"/>
        <w:jc w:val="left"/>
        <w:outlineLvl w:val="3"/>
      </w:pPr>
      <w:bookmarkStart w:name="heading_34" w:id="34"/>
      <w:r>
        <w:rPr>
          <w:rFonts w:eastAsia="等线" w:ascii="Arial" w:cs="Arial" w:hAnsi="Arial"/>
          <w:b w:val="true"/>
          <w:sz w:val="28"/>
        </w:rPr>
        <w:t>异常值检测方法</w:t>
      </w:r>
      <w:bookmarkEnd w:id="34"/>
    </w:p>
    <w:tbl>
      <w:tblPr>
        <w:tblW w:w="0" w:type="auto"/>
        <w:tblInd w:w="0" w:type="dxa"/>
        <w:tblBorders>
          <w:top w:val="none" w:space="4"/>
          <w:left w:val="none" w:space="4"/>
          <w:bottom w:val="none" w:space="4"/>
          <w:right w:val="none" w:space="4"/>
          <w:insideH w:val="none" w:space="4"/>
          <w:insideV w:val="none" w:space="4"/>
        </w:tblBorders>
        <w:tblLayout w:type="fixed"/>
      </w:tblPr>
      <w:tblGrid>
        <w:gridCol w:w="2732"/>
        <w:gridCol w:w="2732"/>
        <w:gridCol w:w="2815"/>
      </w:tblGrid>
      <w:tr>
        <w:tc>
          <w:tcPr>
            <w:tcW w:w="2732"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492"/>
            </w:tblGrid>
            <w:tr>
              <w:tc>
                <w:tcPr>
                  <w:tcW w:w="2492"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35" w:id="35"/>
                  <w:r>
                    <w:rPr>
                      <w:rFonts w:eastAsia="等线" w:ascii="Arial" w:cs="Arial" w:hAnsi="Arial"/>
                      <w:b w:val="true"/>
                      <w:sz w:val="28"/>
                    </w:rPr>
                    <w:t>📊 统计方法</w:t>
                  </w:r>
                  <w:bookmarkEnd w:id="35"/>
                </w:p>
                <w:p>
                  <w:pPr>
                    <w:spacing w:before="120" w:after="120" w:line="288" w:lineRule="auto"/>
                    <w:ind w:left="0"/>
                    <w:jc w:val="left"/>
                  </w:pPr>
                  <w:r>
                    <w:rPr>
                      <w:rFonts w:eastAsia="等线" w:ascii="Arial" w:cs="Arial" w:hAnsi="Arial"/>
                      <w:sz w:val="22"/>
                    </w:rPr>
                    <w:t>基于Z-score或IQR方法检测异常值，如Z-score &gt; 3的极端值</w:t>
                  </w:r>
                </w:p>
              </w:tc>
            </w:tr>
          </w:tbl>
          <w:p/>
        </w:tc>
        <w:tc>
          <w:tcPr>
            <w:tcW w:w="2732"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492"/>
            </w:tblGrid>
            <w:tr>
              <w:tc>
                <w:tcPr>
                  <w:tcW w:w="2492"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36" w:id="36"/>
                  <w:r>
                    <w:rPr>
                      <w:rFonts w:eastAsia="等线" w:ascii="Arial" w:cs="Arial" w:hAnsi="Arial"/>
                      <w:b w:val="true"/>
                      <w:sz w:val="28"/>
                    </w:rPr>
                    <w:t>🔄 时间序列方法</w:t>
                  </w:r>
                  <w:bookmarkEnd w:id="36"/>
                </w:p>
                <w:p>
                  <w:pPr>
                    <w:spacing w:before="120" w:after="120" w:line="288" w:lineRule="auto"/>
                    <w:ind w:left="0"/>
                    <w:jc w:val="left"/>
                  </w:pPr>
                  <w:r>
                    <w:rPr>
                      <w:rFonts w:eastAsia="等线" w:ascii="Arial" w:cs="Arial" w:hAnsi="Arial"/>
                      <w:sz w:val="22"/>
                    </w:rPr>
                    <w:t>基于滑动窗口检测时间序列中的突变点与异常模式</w:t>
                  </w:r>
                </w:p>
              </w:tc>
            </w:tr>
          </w:tbl>
          <w:p/>
        </w:tc>
        <w:tc>
          <w:tcPr>
            <w:tcW w:w="2815"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75"/>
            </w:tblGrid>
            <w:tr>
              <w:tc>
                <w:tcPr>
                  <w:tcW w:w="2575" w:type="dxa"/>
                  <w:shd w:color="auto" w:val="clear" w:fill="f0fbef"/>
                  <w:tcMar>
                    <w:top w:type="dxa" w:w="60"/>
                    <w:left w:type="dxa" w:w="120"/>
                    <w:bottom w:type="dxa" w:w="30"/>
                    <w:right w:type="dxa" w:w="120"/>
                  </w:tcMar>
                </w:tcPr>
                <w:p>
                  <w:pPr>
                    <w:pStyle w:val="4"/>
                    <w:spacing w:before="260" w:after="120" w:line="288" w:lineRule="auto"/>
                    <w:ind w:left="0"/>
                    <w:jc w:val="left"/>
                    <w:outlineLvl w:val="3"/>
                  </w:pPr>
                  <w:bookmarkStart w:name="heading_37" w:id="37"/>
                  <w:r>
                    <w:rPr>
                      <w:rFonts w:eastAsia="等线" w:ascii="Arial" w:cs="Arial" w:hAnsi="Arial"/>
                      <w:b w:val="true"/>
                      <w:sz w:val="28"/>
                    </w:rPr>
                    <w:t>🎯 业务规则方法</w:t>
                  </w:r>
                  <w:bookmarkEnd w:id="37"/>
                </w:p>
                <w:p>
                  <w:pPr>
                    <w:spacing w:before="120" w:after="120" w:line="288" w:lineRule="auto"/>
                    <w:ind w:left="0"/>
                    <w:jc w:val="left"/>
                  </w:pPr>
                  <w:r>
                    <w:rPr>
                      <w:rFonts w:eastAsia="等线" w:ascii="Arial" w:cs="Arial" w:hAnsi="Arial"/>
                      <w:sz w:val="22"/>
                    </w:rPr>
                    <w:t>基于领域知识定义的规则检测异常，如心率范围限制</w:t>
                  </w:r>
                </w:p>
              </w:tc>
            </w:tr>
          </w:tbl>
          <w:p/>
        </w:tc>
      </w:tr>
    </w:tbl>
    <w:p>
      <w:pPr>
        <w:pStyle w:val="4"/>
        <w:spacing w:before="260" w:after="120" w:line="288" w:lineRule="auto"/>
        <w:ind w:left="0"/>
        <w:jc w:val="left"/>
        <w:outlineLvl w:val="3"/>
      </w:pPr>
      <w:bookmarkStart w:name="heading_38" w:id="38"/>
      <w:r>
        <w:rPr>
          <w:rFonts w:eastAsia="等线" w:ascii="Arial" w:cs="Arial" w:hAnsi="Arial"/>
          <w:b w:val="true"/>
          <w:sz w:val="28"/>
        </w:rPr>
        <w:t>异常值处理策略</w:t>
      </w:r>
      <w:bookmarkEnd w:id="38"/>
    </w:p>
    <w:p>
      <w:pPr>
        <w:spacing w:before="120" w:after="120" w:line="288" w:lineRule="auto"/>
        <w:ind w:left="0"/>
        <w:jc w:val="left"/>
      </w:pPr>
      <w:r>
        <w:rPr>
          <w:rFonts w:eastAsia="等线" w:ascii="Arial" w:cs="Arial" w:hAnsi="Arial"/>
          <w:sz w:val="22"/>
        </w:rPr>
        <w:t>根据异常类型和严重程度，采用不同的处理策略：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处理策略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数据漂移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时间序列方法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数据校准或标记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设备校准偏差</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逻辑错误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业务规则方法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拒绝或请求重新采集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舒张压 &gt; 收缩压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极端值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统计方法</w:t>
            </w:r>
          </w:p>
        </w:tc>
      </w:tr>
    </w:tbl>
    <w:p>
      <w:pPr>
        <w:pStyle w:val="3"/>
        <w:spacing w:before="300" w:after="120" w:line="288" w:lineRule="auto"/>
        <w:ind w:left="0"/>
        <w:jc w:val="left"/>
        <w:outlineLvl w:val="2"/>
      </w:pPr>
      <w:bookmarkStart w:name="heading_39" w:id="39"/>
      <w:r>
        <w:rPr>
          <w:rFonts w:eastAsia="等线" w:ascii="Arial" w:cs="Arial" w:hAnsi="Arial"/>
          <w:b w:val="true"/>
          <w:sz w:val="30"/>
        </w:rPr>
        <w:t>系统性能保障</w:t>
      </w:r>
      <w:bookmarkEnd w:id="39"/>
    </w:p>
    <w:p>
      <w:pPr>
        <w:spacing w:before="120" w:after="120" w:line="288" w:lineRule="auto"/>
        <w:ind w:left="0"/>
        <w:jc w:val="left"/>
      </w:pPr>
      <w:r>
        <w:rPr>
          <w:rFonts w:eastAsia="等线" w:ascii="Arial" w:cs="Arial" w:hAnsi="Arial"/>
          <w:sz w:val="22"/>
        </w:rPr>
        <w:t>为确保系统在高并发场景下的稳定运行，实现以下性能保障措施：</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0f4ff"/>
            <w:tcMar>
              <w:top w:type="dxa" w:w="60"/>
              <w:left w:type="dxa" w:w="120"/>
              <w:bottom w:type="dxa" w:w="30"/>
              <w:right w:type="dxa" w:w="120"/>
            </w:tcMar>
          </w:tcPr>
          <w:p>
            <w:pPr>
              <w:pStyle w:val="4"/>
              <w:spacing w:before="260" w:after="120" w:line="288" w:lineRule="auto"/>
              <w:ind w:left="0"/>
              <w:jc w:val="left"/>
              <w:outlineLvl w:val="3"/>
            </w:pPr>
            <w:bookmarkStart w:name="heading_40" w:id="40"/>
            <w:r>
              <w:rPr>
                <w:rFonts w:eastAsia="等线" w:ascii="Arial" w:cs="Arial" w:hAnsi="Arial"/>
                <w:b w:val="true"/>
                <w:sz w:val="28"/>
              </w:rPr>
              <w:t>🚀 性能优化策略</w:t>
            </w:r>
            <w:bookmarkEnd w:id="40"/>
          </w:p>
          <w:p>
            <w:pPr>
              <w:spacing w:before="120" w:after="120" w:line="288" w:lineRule="auto"/>
              <w:ind w:left="0"/>
              <w:jc w:val="left"/>
            </w:pPr>
          </w:p>
          <w:p>
            <w:pPr>
              <w:numPr>
                <w:numId w:val="33"/>
              </w:numPr>
              <w:spacing w:before="120" w:after="120" w:line="288" w:lineRule="auto"/>
              <w:ind w:left="453"/>
              <w:jc w:val="left"/>
            </w:pPr>
            <w:r>
              <w:rPr>
                <w:rFonts w:eastAsia="等线" w:ascii="Arial" w:cs="Arial" w:hAnsi="Arial"/>
                <w:sz w:val="22"/>
              </w:rPr>
              <w:t>采用预计算策略，提前计算群体统计指标与用户基线</w:t>
            </w:r>
          </w:p>
          <w:p>
            <w:pPr>
              <w:numPr>
                <w:numId w:val="34"/>
              </w:numPr>
              <w:spacing w:before="120" w:after="120" w:line="288" w:lineRule="auto"/>
              <w:ind w:left="453"/>
              <w:jc w:val="left"/>
            </w:pPr>
            <w:r>
              <w:rPr>
                <w:rFonts w:eastAsia="等线" w:ascii="Arial" w:cs="Arial" w:hAnsi="Arial"/>
                <w:sz w:val="22"/>
              </w:rPr>
              <w:t>实现多级缓存机制，缓存热点数据与计算结果</w:t>
            </w:r>
          </w:p>
          <w:p>
            <w:pPr>
              <w:numPr>
                <w:numId w:val="35"/>
              </w:numPr>
              <w:spacing w:before="120" w:after="120" w:line="288" w:lineRule="auto"/>
              <w:ind w:left="453"/>
              <w:jc w:val="left"/>
            </w:pPr>
            <w:r>
              <w:rPr>
                <w:rFonts w:eastAsia="等线" w:ascii="Arial" w:cs="Arial" w:hAnsi="Arial"/>
                <w:sz w:val="22"/>
              </w:rPr>
              <w:t>采用异步处理模式，非关键路径任务后台处理</w:t>
            </w:r>
          </w:p>
          <w:p>
            <w:pPr>
              <w:numPr>
                <w:numId w:val="36"/>
              </w:numPr>
              <w:spacing w:before="120" w:after="120" w:line="288" w:lineRule="auto"/>
              <w:ind w:left="453"/>
              <w:jc w:val="left"/>
            </w:pPr>
            <w:r>
              <w:rPr>
                <w:rFonts w:eastAsia="等线" w:ascii="Arial" w:cs="Arial" w:hAnsi="Arial"/>
                <w:sz w:val="22"/>
              </w:rPr>
              <w:t>数据库索引优化，提升查询性能</w:t>
            </w:r>
          </w:p>
          <w:p>
            <w:pPr>
              <w:numPr>
                <w:numId w:val="37"/>
              </w:numPr>
              <w:spacing w:before="120" w:after="120" w:line="288" w:lineRule="auto"/>
              <w:ind w:left="453"/>
              <w:jc w:val="left"/>
            </w:pPr>
            <w:r>
              <w:rPr>
                <w:rFonts w:eastAsia="等线" w:ascii="Arial" w:cs="Arial" w:hAnsi="Arial"/>
                <w:sz w:val="22"/>
              </w:rPr>
              <w:t>服务水平扩展，支持负载均衡</w:t>
            </w:r>
          </w:p>
        </w:tc>
      </w:tr>
    </w:tbl>
    <w:p>
      <w:pPr>
        <w:pStyle w:val="3"/>
        <w:spacing w:before="300" w:after="120" w:line="288" w:lineRule="auto"/>
        <w:ind w:left="0"/>
        <w:jc w:val="left"/>
        <w:outlineLvl w:val="2"/>
      </w:pPr>
      <w:bookmarkStart w:name="heading_41" w:id="41"/>
      <w:r>
        <w:rPr>
          <w:rFonts w:eastAsia="等线" w:ascii="Arial" w:cs="Arial" w:hAnsi="Arial"/>
          <w:b w:val="true"/>
          <w:sz w:val="30"/>
        </w:rPr>
        <w:t>算法质量监控</w:t>
      </w:r>
      <w:bookmarkEnd w:id="41"/>
    </w:p>
    <w:p>
      <w:pPr>
        <w:spacing w:before="120" w:after="120" w:line="288" w:lineRule="auto"/>
        <w:ind w:left="0"/>
        <w:jc w:val="left"/>
      </w:pPr>
      <w:r>
        <w:rPr>
          <w:rFonts w:eastAsia="等线" w:ascii="Arial" w:cs="Arial" w:hAnsi="Arial"/>
          <w:sz w:val="22"/>
        </w:rPr>
        <w:t>建立算法质量监控体系，持续跟踪算法性能与准确性：</w:t>
      </w:r>
    </w:p>
    <w:p>
      <w:pPr>
        <w:spacing w:before="120" w:after="120" w:line="288" w:lineRule="auto"/>
        <w:ind w:left="0"/>
        <w:jc w:val="center"/>
      </w:pPr>
      <w:r>
        <w:drawing>
          <wp:inline distT="0" distR="0" distB="0" distL="0">
            <wp:extent cx="5257800" cy="2971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71800"/>
                    </a:xfrm>
                    <a:prstGeom prst="rect">
                      <a:avLst/>
                    </a:prstGeom>
                  </pic:spPr>
                </pic:pic>
              </a:graphicData>
            </a:graphic>
          </wp:inline>
        </w:drawing>
      </w:r>
    </w:p>
    <w:p>
      <w:pPr>
        <w:pStyle w:val="2"/>
        <w:spacing w:before="320" w:after="120" w:line="288" w:lineRule="auto"/>
        <w:ind w:left="0"/>
        <w:jc w:val="left"/>
        <w:outlineLvl w:val="1"/>
      </w:pPr>
      <w:bookmarkStart w:name="heading_42" w:id="42"/>
      <w:r>
        <w:rPr>
          <w:rFonts w:eastAsia="等线" w:ascii="Arial" w:cs="Arial" w:hAnsi="Arial"/>
          <w:b w:val="true"/>
          <w:sz w:val="32"/>
        </w:rPr>
        <w:t>医疗与法律合规技术控制措施</w:t>
      </w:r>
      <w:bookmarkEnd w:id="42"/>
    </w:p>
    <w:p>
      <w:pPr>
        <w:spacing w:before="120" w:after="120" w:line="288" w:lineRule="auto"/>
        <w:ind w:left="0"/>
        <w:jc w:val="left"/>
      </w:pPr>
      <w:r>
        <w:rPr>
          <w:rFonts w:eastAsia="等线" w:ascii="Arial" w:cs="Arial" w:hAnsi="Arial"/>
          <w:sz w:val="22"/>
        </w:rPr>
        <w:t>心脏+数据差异探索功能涉及用户健康数据，需严格遵守相关医疗法规与数据隐私保护要求。以下详细阐述技术层面的合规控制措施。</w:t>
      </w:r>
    </w:p>
    <w:p>
      <w:pPr>
        <w:pStyle w:val="3"/>
        <w:spacing w:before="300" w:after="120" w:line="288" w:lineRule="auto"/>
        <w:ind w:left="0"/>
        <w:jc w:val="left"/>
        <w:outlineLvl w:val="2"/>
      </w:pPr>
      <w:bookmarkStart w:name="heading_43" w:id="43"/>
      <w:r>
        <w:rPr>
          <w:rFonts w:eastAsia="等线" w:ascii="Arial" w:cs="Arial" w:hAnsi="Arial"/>
          <w:b w:val="true"/>
          <w:sz w:val="30"/>
        </w:rPr>
        <w:t>数据隐私保护技术措施</w:t>
      </w:r>
      <w:bookmarkEnd w:id="43"/>
    </w:p>
    <w:p>
      <w:pPr>
        <w:spacing w:before="120" w:after="120" w:line="288" w:lineRule="auto"/>
        <w:ind w:left="0"/>
        <w:jc w:val="left"/>
      </w:pPr>
      <w:r>
        <w:rPr>
          <w:rFonts w:eastAsia="等线" w:ascii="Arial" w:cs="Arial" w:hAnsi="Arial"/>
          <w:sz w:val="22"/>
        </w:rPr>
        <w:t>为保护用户隐私，特别是在群体对比功能中，实现以下技术措施：</w:t>
      </w:r>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pStyle w:val="4"/>
              <w:spacing w:before="260" w:after="120" w:line="288" w:lineRule="auto"/>
              <w:ind w:left="0"/>
              <w:jc w:val="left"/>
              <w:outlineLvl w:val="3"/>
            </w:pPr>
            <w:bookmarkStart w:name="heading_44" w:id="44"/>
            <w:r>
              <w:rPr>
                <w:rFonts w:eastAsia="等线" w:ascii="Arial" w:cs="Arial" w:hAnsi="Arial"/>
                <w:b w:val="true"/>
                <w:sz w:val="28"/>
              </w:rPr>
              <w:t>数据隐私保护机制</w:t>
            </w:r>
            <w:bookmarkEnd w:id="44"/>
          </w:p>
          <w:p>
            <w:pPr>
              <w:numPr>
                <w:numId w:val="38"/>
              </w:numPr>
              <w:spacing w:before="120" w:after="120" w:line="288" w:lineRule="auto"/>
              <w:ind w:left="0"/>
              <w:jc w:val="left"/>
            </w:pPr>
            <w:r>
              <w:rPr>
                <w:rFonts w:eastAsia="等线" w:ascii="Arial" w:cs="Arial" w:hAnsi="Arial"/>
                <w:b w:val="true"/>
                <w:sz w:val="22"/>
              </w:rPr>
              <w:t>数据匿名化处理：用于群体对比的数据集需经过彻底匿名化处理，去除所有可识别个人身份的信息</w:t>
            </w:r>
          </w:p>
          <w:p>
            <w:pPr>
              <w:numPr>
                <w:numId w:val="39"/>
              </w:numPr>
              <w:spacing w:before="120" w:after="120" w:line="288" w:lineRule="auto"/>
              <w:ind w:left="0"/>
              <w:jc w:val="left"/>
            </w:pPr>
            <w:r>
              <w:rPr>
                <w:rFonts w:eastAsia="等线" w:ascii="Arial" w:cs="Arial" w:hAnsi="Arial"/>
                <w:b w:val="true"/>
                <w:sz w:val="22"/>
              </w:rPr>
              <w:t>聚合计算：群体统计仅基于聚合数据，单个用户数据无法被识别或提取</w:t>
            </w:r>
          </w:p>
          <w:p>
            <w:pPr>
              <w:numPr>
                <w:numId w:val="40"/>
              </w:numPr>
              <w:spacing w:before="120" w:after="120" w:line="288" w:lineRule="auto"/>
              <w:ind w:left="0"/>
              <w:jc w:val="left"/>
            </w:pPr>
            <w:r>
              <w:rPr>
                <w:rFonts w:eastAsia="等线" w:ascii="Arial" w:cs="Arial" w:hAnsi="Arial"/>
                <w:b w:val="true"/>
                <w:sz w:val="22"/>
              </w:rPr>
              <w:t>隐私授权机制：用户需明确授权才能加入群体对比，授权可随时撤销</w:t>
            </w:r>
          </w:p>
          <w:p>
            <w:pPr>
              <w:numPr>
                <w:numId w:val="41"/>
              </w:numPr>
              <w:spacing w:before="120" w:after="120" w:line="288" w:lineRule="auto"/>
              <w:ind w:left="0"/>
              <w:jc w:val="left"/>
            </w:pPr>
            <w:r>
              <w:rPr>
                <w:rFonts w:eastAsia="等线" w:ascii="Arial" w:cs="Arial" w:hAnsi="Arial"/>
                <w:b w:val="true"/>
                <w:sz w:val="22"/>
              </w:rPr>
              <w:t>数据最小化原则：仅收集必要的用户数据，避免数据过度收集</w:t>
            </w:r>
          </w:p>
          <w:p>
            <w:pPr>
              <w:numPr>
                <w:numId w:val="42"/>
              </w:numPr>
              <w:spacing w:before="120" w:after="120" w:line="288" w:lineRule="auto"/>
              <w:ind w:left="0"/>
              <w:jc w:val="left"/>
            </w:pPr>
            <w:r>
              <w:rPr>
                <w:rFonts w:eastAsia="等线" w:ascii="Arial" w:cs="Arial" w:hAnsi="Arial"/>
                <w:b w:val="true"/>
                <w:sz w:val="22"/>
              </w:rPr>
              <w:t>安全存储：所有个人健康数据需加密存储，传输过程采用TLS加密</w:t>
            </w:r>
          </w:p>
        </w:tc>
      </w:tr>
    </w:tbl>
    <w:p>
      <w:pPr>
        <w:pStyle w:val="3"/>
        <w:spacing w:before="300" w:after="120" w:line="288" w:lineRule="auto"/>
        <w:ind w:left="0"/>
        <w:jc w:val="left"/>
        <w:outlineLvl w:val="2"/>
      </w:pPr>
      <w:bookmarkStart w:name="heading_45" w:id="45"/>
      <w:r>
        <w:rPr>
          <w:rFonts w:eastAsia="等线" w:ascii="Arial" w:cs="Arial" w:hAnsi="Arial"/>
          <w:b w:val="true"/>
          <w:sz w:val="30"/>
        </w:rPr>
        <w:t>群体对比隐私授权流程</w:t>
      </w:r>
      <w:bookmarkEnd w:id="45"/>
    </w:p>
    <w:p>
      <w:pPr>
        <w:spacing w:before="120" w:after="120" w:line="288" w:lineRule="auto"/>
        <w:ind w:left="0"/>
        <w:jc w:val="left"/>
      </w:pPr>
      <w:r>
        <w:rPr>
          <w:rFonts w:eastAsia="等线" w:ascii="Arial" w:cs="Arial" w:hAnsi="Arial"/>
          <w:sz w:val="22"/>
        </w:rPr>
        <w:t>实现用户可控的隐私授权流程，确保用户知情权与控制权：</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pStyle w:val="5"/>
              <w:spacing w:before="240" w:after="120" w:line="288" w:lineRule="auto"/>
              <w:ind w:left="0"/>
              <w:jc w:val="left"/>
              <w:outlineLvl w:val="4"/>
            </w:pPr>
            <w:bookmarkStart w:name="heading_46" w:id="46"/>
            <w:r>
              <w:rPr>
                <w:rFonts w:eastAsia="等线" w:ascii="Arial" w:cs="Arial" w:hAnsi="Arial"/>
                <w:b w:val="true"/>
                <w:sz w:val="24"/>
              </w:rPr>
              <w:t>步骤1：首次进入提示</w:t>
            </w:r>
            <w:bookmarkEnd w:id="46"/>
          </w:p>
          <w:p>
            <w:pPr>
              <w:spacing w:before="120" w:after="120" w:line="288" w:lineRule="auto"/>
              <w:ind w:left="0"/>
              <w:jc w:val="left"/>
            </w:pPr>
            <w:r>
              <w:rPr>
                <w:rFonts w:eastAsia="等线" w:ascii="Arial" w:cs="Arial" w:hAnsi="Arial"/>
                <w:sz w:val="22"/>
              </w:rPr>
              <w:t>用户首次进入差异报告页时，展示隐私授权模态弹窗</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pStyle w:val="5"/>
              <w:spacing w:before="240" w:after="120" w:line="288" w:lineRule="auto"/>
              <w:ind w:left="0"/>
              <w:jc w:val="left"/>
              <w:outlineLvl w:val="4"/>
            </w:pPr>
            <w:bookmarkStart w:name="heading_47" w:id="47"/>
            <w:r>
              <w:rPr>
                <w:rFonts w:eastAsia="等线" w:ascii="Arial" w:cs="Arial" w:hAnsi="Arial"/>
                <w:b w:val="true"/>
                <w:sz w:val="24"/>
              </w:rPr>
              <w:t>步骤2：清晰说明</w:t>
            </w:r>
            <w:bookmarkEnd w:id="47"/>
          </w:p>
          <w:p>
            <w:pPr>
              <w:spacing w:before="120" w:after="120" w:line="288" w:lineRule="auto"/>
              <w:ind w:left="0"/>
              <w:jc w:val="left"/>
            </w:pPr>
            <w:r>
              <w:rPr>
                <w:rFonts w:eastAsia="等线" w:ascii="Arial" w:cs="Arial" w:hAnsi="Arial"/>
                <w:sz w:val="22"/>
              </w:rPr>
              <w:t>用简单易懂的语言解释加入群体对比的收益与隐私保护措施</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pStyle w:val="5"/>
              <w:spacing w:before="240" w:after="120" w:line="288" w:lineRule="auto"/>
              <w:ind w:left="0"/>
              <w:jc w:val="left"/>
              <w:outlineLvl w:val="4"/>
            </w:pPr>
            <w:bookmarkStart w:name="heading_48" w:id="48"/>
            <w:r>
              <w:rPr>
                <w:rFonts w:eastAsia="等线" w:ascii="Arial" w:cs="Arial" w:hAnsi="Arial"/>
                <w:b w:val="true"/>
                <w:sz w:val="24"/>
              </w:rPr>
              <w:t>步骤3：明确授权</w:t>
            </w:r>
            <w:bookmarkEnd w:id="48"/>
          </w:p>
          <w:p>
            <w:pPr>
              <w:spacing w:before="120" w:after="120" w:line="288" w:lineRule="auto"/>
              <w:ind w:left="0"/>
              <w:jc w:val="left"/>
            </w:pPr>
            <w:r>
              <w:rPr>
                <w:rFonts w:eastAsia="等线" w:ascii="Arial" w:cs="Arial" w:hAnsi="Arial"/>
                <w:sz w:val="22"/>
              </w:rPr>
              <w:t>用户必须手动勾选"我已阅读并同意"后，才能点击"开始使用"按钮</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pStyle w:val="5"/>
              <w:spacing w:before="240" w:after="120" w:line="288" w:lineRule="auto"/>
              <w:ind w:left="0"/>
              <w:jc w:val="left"/>
              <w:outlineLvl w:val="4"/>
            </w:pPr>
            <w:bookmarkStart w:name="heading_49" w:id="49"/>
            <w:r>
              <w:rPr>
                <w:rFonts w:eastAsia="等线" w:ascii="Arial" w:cs="Arial" w:hAnsi="Arial"/>
                <w:b w:val="true"/>
                <w:sz w:val="24"/>
              </w:rPr>
              <w:t>步骤4：随时可调整</w:t>
            </w:r>
            <w:bookmarkEnd w:id="49"/>
          </w:p>
          <w:p>
            <w:pPr>
              <w:spacing w:before="120" w:after="120" w:line="288" w:lineRule="auto"/>
              <w:ind w:left="0"/>
              <w:jc w:val="left"/>
            </w:pPr>
            <w:r>
              <w:rPr>
                <w:rFonts w:eastAsia="等线" w:ascii="Arial" w:cs="Arial" w:hAnsi="Arial"/>
                <w:sz w:val="22"/>
              </w:rPr>
              <w:t>用户可在"设置-隐私"中随时开启或关闭群体对比功能</w:t>
            </w:r>
          </w:p>
        </w:tc>
      </w:tr>
    </w:tbl>
    <w:p>
      <w:pPr>
        <w:pStyle w:val="3"/>
        <w:spacing w:before="300" w:after="120" w:line="288" w:lineRule="auto"/>
        <w:ind w:left="0"/>
        <w:jc w:val="left"/>
        <w:outlineLvl w:val="2"/>
      </w:pPr>
      <w:bookmarkStart w:name="heading_50" w:id="50"/>
      <w:r>
        <w:rPr>
          <w:rFonts w:eastAsia="等线" w:ascii="Arial" w:cs="Arial" w:hAnsi="Arial"/>
          <w:b w:val="true"/>
          <w:sz w:val="30"/>
        </w:rPr>
        <w:t>禁用词汇治理机制</w:t>
      </w:r>
      <w:bookmarkEnd w:id="50"/>
    </w:p>
    <w:p>
      <w:pPr>
        <w:spacing w:before="120" w:after="120" w:line="288" w:lineRule="auto"/>
        <w:ind w:left="0"/>
        <w:jc w:val="left"/>
      </w:pPr>
      <w:r>
        <w:rPr>
          <w:rFonts w:eastAsia="等线" w:ascii="Arial" w:cs="Arial" w:hAnsi="Arial"/>
          <w:sz w:val="22"/>
        </w:rPr>
        <w:t>为避免医疗合规风险，实现禁用词汇自动检测与替换机制：</w:t>
      </w:r>
    </w:p>
    <w:p>
      <w:pPr>
        <w:pStyle w:val="3"/>
        <w:spacing w:before="300" w:after="120" w:line="288" w:lineRule="auto"/>
        <w:ind w:left="0"/>
        <w:jc w:val="left"/>
        <w:outlineLvl w:val="2"/>
      </w:pPr>
      <w:bookmarkStart w:name="heading_51" w:id="51"/>
      <w:r>
        <w:rPr>
          <w:rFonts w:eastAsia="等线" w:ascii="Arial" w:cs="Arial" w:hAnsi="Arial"/>
          <w:b w:val="true"/>
          <w:sz w:val="30"/>
        </w:rPr>
        <w:t>免责协议与法律声明</w:t>
      </w:r>
      <w:bookmarkEnd w:id="51"/>
    </w:p>
    <w:p>
      <w:pPr>
        <w:spacing w:before="120" w:after="120" w:line="288" w:lineRule="auto"/>
        <w:ind w:left="0"/>
        <w:jc w:val="left"/>
      </w:pPr>
      <w:r>
        <w:rPr>
          <w:rFonts w:eastAsia="等线" w:ascii="Arial" w:cs="Arial" w:hAnsi="Arial"/>
          <w:sz w:val="22"/>
        </w:rPr>
        <w:t>技术实现上确保免责协议的有效展示与用户确认：</w:t>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
            <w:tcMar>
              <w:top w:type="dxa" w:w="60"/>
              <w:left w:type="dxa" w:w="120"/>
              <w:bottom w:type="dxa" w:w="30"/>
              <w:right w:type="dxa" w:w="120"/>
            </w:tcMar>
          </w:tcPr>
          <w:p>
            <w:pPr>
              <w:pStyle w:val="4"/>
              <w:spacing w:before="260" w:after="120" w:line="288" w:lineRule="auto"/>
              <w:ind w:left="0"/>
              <w:jc w:val="left"/>
              <w:outlineLvl w:val="3"/>
            </w:pPr>
            <w:bookmarkStart w:name="heading_52" w:id="52"/>
            <w:r>
              <w:rPr>
                <w:rFonts w:eastAsia="等线" w:ascii="Arial" w:cs="Arial" w:hAnsi="Arial"/>
                <w:b w:val="true"/>
                <w:sz w:val="28"/>
              </w:rPr>
              <w:t>免责协议技术实现要点</w:t>
            </w:r>
            <w:bookmarkEnd w:id="52"/>
          </w:p>
          <w:p>
            <w:pPr>
              <w:numPr>
                <w:numId w:val="43"/>
              </w:numPr>
              <w:spacing w:before="120" w:after="120" w:line="288" w:lineRule="auto"/>
              <w:ind w:left="0"/>
              <w:jc w:val="left"/>
            </w:pPr>
            <w:r>
              <w:rPr>
                <w:rFonts w:eastAsia="等线" w:ascii="Arial" w:cs="Arial" w:hAnsi="Arial"/>
                <w:sz w:val="22"/>
              </w:rPr>
              <w:t>首次使用强制弹窗：用户首次使用差异探索功能时，必须查看并同意免责协议</w:t>
            </w:r>
          </w:p>
          <w:p>
            <w:pPr>
              <w:numPr>
                <w:numId w:val="44"/>
              </w:numPr>
              <w:spacing w:before="120" w:after="120" w:line="288" w:lineRule="auto"/>
              <w:ind w:left="0"/>
              <w:jc w:val="left"/>
            </w:pPr>
            <w:r>
              <w:rPr>
                <w:rFonts w:eastAsia="等线" w:ascii="Arial" w:cs="Arial" w:hAnsi="Arial"/>
                <w:sz w:val="22"/>
              </w:rPr>
              <w:t>手动确认机制：用户必须手动勾选"我已阅读并同意"，按钮才能激活</w:t>
            </w:r>
          </w:p>
          <w:p>
            <w:pPr>
              <w:numPr>
                <w:numId w:val="45"/>
              </w:numPr>
              <w:spacing w:before="120" w:after="120" w:line="288" w:lineRule="auto"/>
              <w:ind w:left="0"/>
              <w:jc w:val="left"/>
            </w:pPr>
            <w:r>
              <w:rPr>
                <w:rFonts w:eastAsia="等线" w:ascii="Arial" w:cs="Arial" w:hAnsi="Arial"/>
                <w:sz w:val="22"/>
              </w:rPr>
              <w:t>协议版本控制：支持协议版本更新与重新确认机制</w:t>
            </w:r>
          </w:p>
          <w:p>
            <w:pPr>
              <w:numPr>
                <w:numId w:val="46"/>
              </w:numPr>
              <w:spacing w:before="120" w:after="120" w:line="288" w:lineRule="auto"/>
              <w:ind w:left="0"/>
              <w:jc w:val="left"/>
            </w:pPr>
            <w:r>
              <w:rPr>
                <w:rFonts w:eastAsia="等线" w:ascii="Arial" w:cs="Arial" w:hAnsi="Arial"/>
                <w:sz w:val="22"/>
              </w:rPr>
              <w:t>记录保存：保存用户同意记录，支持审计与回溯</w:t>
            </w:r>
          </w:p>
          <w:p>
            <w:pPr>
              <w:numPr>
                <w:numId w:val="47"/>
              </w:numPr>
              <w:spacing w:before="120" w:after="120" w:line="288" w:lineRule="auto"/>
              <w:ind w:left="0"/>
              <w:jc w:val="left"/>
            </w:pPr>
            <w:r>
              <w:rPr>
                <w:rFonts w:eastAsia="等线" w:ascii="Arial" w:cs="Arial" w:hAnsi="Arial"/>
                <w:sz w:val="22"/>
              </w:rPr>
              <w:t>可访问性：协议内容需易于阅读，支持放大与屏幕阅读器</w:t>
            </w:r>
          </w:p>
        </w:tc>
      </w:tr>
    </w:tbl>
    <w:p>
      <w:pPr>
        <w:pStyle w:val="3"/>
        <w:spacing w:before="300" w:after="120" w:line="288" w:lineRule="auto"/>
        <w:ind w:left="0"/>
        <w:jc w:val="left"/>
        <w:outlineLvl w:val="2"/>
      </w:pPr>
      <w:bookmarkStart w:name="heading_53" w:id="53"/>
      <w:r>
        <w:rPr>
          <w:rFonts w:eastAsia="等线" w:ascii="Arial" w:cs="Arial" w:hAnsi="Arial"/>
          <w:b w:val="true"/>
          <w:sz w:val="30"/>
        </w:rPr>
        <w:t>医疗合规技术门禁</w:t>
      </w:r>
      <w:bookmarkEnd w:id="53"/>
    </w:p>
    <w:p>
      <w:pPr>
        <w:spacing w:before="120" w:after="120" w:line="288" w:lineRule="auto"/>
        <w:ind w:left="0"/>
        <w:jc w:val="left"/>
      </w:pPr>
      <w:r>
        <w:rPr>
          <w:rFonts w:eastAsia="等线" w:ascii="Arial" w:cs="Arial" w:hAnsi="Arial"/>
          <w:sz w:val="22"/>
        </w:rPr>
        <w:t>实现发布前的自动化合规检查，确保产品符合医疗合规要求：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compliance_check(release_candidate):</w:t>
              <w:br/>
              <w:t xml:space="preserve">    # 执行合规检查</w:t>
              <w:br/>
              <w:t xml:space="preserve">    passed = True</w:t>
              <w:br/>
              <w:t xml:space="preserve">    </w:t>
              <w:br/>
              <w:t xml:space="preserve">    # 1. 检查禁用词汇</w:t>
              <w:br/>
              <w:t xml:space="preserve">    if not check_forbidden_vocabulary(release_candidate):</w:t>
              <w:br/>
              <w:t xml:space="preserve">        passed = False</w:t>
              <w:br/>
              <w:t xml:space="preserve">        log_error("发现禁用词汇")</w:t>
              <w:br/>
              <w:t xml:space="preserve">    </w:t>
              <w:br/>
              <w:t xml:space="preserve">    # 2. 检查隐私授权流程</w:t>
              <w:br/>
              <w:t xml:space="preserve">    if not check_privacy_flow(release_candidate):</w:t>
              <w:br/>
              <w:t xml:space="preserve">        passed = False</w:t>
              <w:br/>
              <w:t xml:space="preserve">        log_error("隐私授权流程不完整")</w:t>
              <w:br/>
              <w:t xml:space="preserve">    </w:t>
              <w:br/>
              <w:t xml:space="preserve">    # 3. 检查免责协议</w:t>
              <w:br/>
              <w:t xml:space="preserve">    if not check_disclaimer(release_candidate):</w:t>
              <w:br/>
              <w:t xml:space="preserve">        passed = False</w:t>
              <w:br/>
              <w:t xml:space="preserve">        log_error("免责协议缺失或不完整")</w:t>
              <w:br/>
              <w:t xml:space="preserve">    </w:t>
              <w:br/>
              <w:t xml:space="preserve">    # 4. 检查数据处理流程</w:t>
              <w:br/>
              <w:t xml:space="preserve">    if not check_data_processing(release_candidate):</w:t>
              <w:br/>
              <w:t xml:space="preserve">        passed = False</w:t>
              <w:br/>
              <w:t xml:space="preserve">        log_error("数据处理流程不符合合规要求")</w:t>
              <w:br/>
              <w:t xml:space="preserve">    </w:t>
              <w:br/>
            </w:r>
            <w:r>
              <w:rPr>
                <w:rFonts w:eastAsia="Consolas" w:ascii="Consolas" w:cs="Consolas" w:hAnsi="Consolas"/>
                <w:sz w:val="22"/>
              </w:rPr>
              <w:t xml:space="preserve">    return passed</w:t>
            </w:r>
          </w:p>
        </w:tc>
      </w:tr>
    </w:tbl>
    <w:p>
      <w:pPr>
        <w:pStyle w:val="2"/>
        <w:spacing w:before="320" w:after="120" w:line="288" w:lineRule="auto"/>
        <w:ind w:left="0"/>
        <w:jc w:val="left"/>
        <w:outlineLvl w:val="1"/>
      </w:pPr>
      <w:bookmarkStart w:name="heading_54" w:id="54"/>
      <w:r>
        <w:rPr>
          <w:rFonts w:eastAsia="等线" w:ascii="Arial" w:cs="Arial" w:hAnsi="Arial"/>
          <w:b w:val="true"/>
          <w:sz w:val="32"/>
        </w:rPr>
        <w:t>参考资料</w:t>
      </w:r>
      <w:bookmarkEnd w:id="54"/>
    </w:p>
    <w:p>
      <w:pPr>
        <w:numPr>
          <w:numId w:val="48"/>
        </w:numPr>
        <w:spacing w:before="120" w:after="120" w:line="288" w:lineRule="auto"/>
        <w:ind w:left="0"/>
        <w:jc w:val="left"/>
      </w:pPr>
      <w:hyperlink r:id="rId8">
        <w:r>
          <w:rPr>
            <w:rFonts w:eastAsia="等线" w:ascii="Arial" w:cs="Arial" w:hAnsi="Arial"/>
            <w:color w:val="3370ff"/>
            <w:sz w:val="22"/>
          </w:rPr>
          <w:t>心云联动——心脏+ 数据差异探索 v1.0 — 产品需求文档（草稿）</w:t>
        </w:r>
      </w:hyperlink>
      <w:r>
        <w:rPr>
          <w:rFonts w:eastAsia="等线" w:ascii="Arial" w:cs="Arial" w:hAnsi="Arial"/>
          <w:color w:val="8f959e"/>
          <w:sz w:val="22"/>
        </w:rPr>
        <w:t>- 内部文档</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193053">
    <w:lvl>
      <w:numFmt w:val="bullet"/>
      <w:suff w:val="tab"/>
      <w:lvlText w:val="•"/>
      <w:rPr>
        <w:color w:val="3370ff"/>
      </w:rPr>
    </w:lvl>
  </w:abstractNum>
  <w:abstractNum w:abstractNumId="2193054">
    <w:lvl>
      <w:numFmt w:val="bullet"/>
      <w:suff w:val="tab"/>
      <w:lvlText w:val="•"/>
      <w:rPr>
        <w:color w:val="3370ff"/>
      </w:rPr>
    </w:lvl>
  </w:abstractNum>
  <w:abstractNum w:abstractNumId="2193055">
    <w:lvl>
      <w:numFmt w:val="bullet"/>
      <w:suff w:val="tab"/>
      <w:lvlText w:val="•"/>
      <w:rPr>
        <w:color w:val="3370ff"/>
      </w:rPr>
    </w:lvl>
  </w:abstractNum>
  <w:abstractNum w:abstractNumId="2193056">
    <w:lvl>
      <w:numFmt w:val="bullet"/>
      <w:suff w:val="tab"/>
      <w:lvlText w:val="•"/>
      <w:rPr>
        <w:color w:val="3370ff"/>
      </w:rPr>
    </w:lvl>
  </w:abstractNum>
  <w:abstractNum w:abstractNumId="2193057">
    <w:lvl>
      <w:numFmt w:val="bullet"/>
      <w:suff w:val="tab"/>
      <w:lvlText w:val="•"/>
      <w:rPr>
        <w:color w:val="3370ff"/>
      </w:rPr>
    </w:lvl>
  </w:abstractNum>
  <w:abstractNum w:abstractNumId="2193058">
    <w:lvl>
      <w:start w:val="1"/>
      <w:numFmt w:val="decimal"/>
      <w:suff w:val="tab"/>
      <w:lvlText w:val="%1."/>
      <w:rPr>
        <w:color w:val="3370ff"/>
      </w:rPr>
    </w:lvl>
  </w:abstractNum>
  <w:abstractNum w:abstractNumId="2193059">
    <w:lvl>
      <w:start w:val="2"/>
      <w:numFmt w:val="decimal"/>
      <w:suff w:val="tab"/>
      <w:lvlText w:val="%1."/>
      <w:rPr>
        <w:color w:val="3370ff"/>
      </w:rPr>
    </w:lvl>
  </w:abstractNum>
  <w:abstractNum w:abstractNumId="2193060">
    <w:lvl>
      <w:start w:val="3"/>
      <w:numFmt w:val="decimal"/>
      <w:suff w:val="tab"/>
      <w:lvlText w:val="%1."/>
      <w:rPr>
        <w:color w:val="3370ff"/>
      </w:rPr>
    </w:lvl>
  </w:abstractNum>
  <w:abstractNum w:abstractNumId="2193061">
    <w:lvl>
      <w:start w:val="4"/>
      <w:numFmt w:val="decimal"/>
      <w:suff w:val="tab"/>
      <w:lvlText w:val="%1."/>
      <w:rPr>
        <w:color w:val="3370ff"/>
      </w:rPr>
    </w:lvl>
  </w:abstractNum>
  <w:abstractNum w:abstractNumId="2193062">
    <w:lvl>
      <w:numFmt w:val="bullet"/>
      <w:suff w:val="tab"/>
      <w:lvlText w:val="•"/>
      <w:rPr>
        <w:color w:val="3370ff"/>
      </w:rPr>
    </w:lvl>
  </w:abstractNum>
  <w:abstractNum w:abstractNumId="2193063">
    <w:lvl>
      <w:numFmt w:val="bullet"/>
      <w:suff w:val="tab"/>
      <w:lvlText w:val="•"/>
      <w:rPr>
        <w:color w:val="3370ff"/>
      </w:rPr>
    </w:lvl>
  </w:abstractNum>
  <w:abstractNum w:abstractNumId="2193064">
    <w:lvl>
      <w:numFmt w:val="bullet"/>
      <w:suff w:val="tab"/>
      <w:lvlText w:val="•"/>
      <w:rPr>
        <w:color w:val="3370ff"/>
      </w:rPr>
    </w:lvl>
  </w:abstractNum>
  <w:abstractNum w:abstractNumId="2193065">
    <w:lvl>
      <w:start w:val="1"/>
      <w:numFmt w:val="decimal"/>
      <w:suff w:val="tab"/>
      <w:lvlText w:val="%1."/>
      <w:rPr>
        <w:color w:val="3370ff"/>
      </w:rPr>
    </w:lvl>
  </w:abstractNum>
  <w:abstractNum w:abstractNumId="2193066">
    <w:lvl>
      <w:start w:val="2"/>
      <w:numFmt w:val="decimal"/>
      <w:suff w:val="tab"/>
      <w:lvlText w:val="%1."/>
      <w:rPr>
        <w:color w:val="3370ff"/>
      </w:rPr>
    </w:lvl>
  </w:abstractNum>
  <w:abstractNum w:abstractNumId="2193067">
    <w:lvl>
      <w:start w:val="3"/>
      <w:numFmt w:val="decimal"/>
      <w:suff w:val="tab"/>
      <w:lvlText w:val="%1."/>
      <w:rPr>
        <w:color w:val="3370ff"/>
      </w:rPr>
    </w:lvl>
  </w:abstractNum>
  <w:abstractNum w:abstractNumId="2193068">
    <w:lvl>
      <w:start w:val="4"/>
      <w:numFmt w:val="decimal"/>
      <w:suff w:val="tab"/>
      <w:lvlText w:val="%1."/>
      <w:rPr>
        <w:color w:val="3370ff"/>
      </w:rPr>
    </w:lvl>
  </w:abstractNum>
  <w:abstractNum w:abstractNumId="2193069">
    <w:lvl>
      <w:numFmt w:val="bullet"/>
      <w:suff w:val="tab"/>
      <w:lvlText w:val="•"/>
      <w:rPr>
        <w:color w:val="3370ff"/>
      </w:rPr>
    </w:lvl>
  </w:abstractNum>
  <w:abstractNum w:abstractNumId="2193070">
    <w:lvl>
      <w:numFmt w:val="bullet"/>
      <w:suff w:val="tab"/>
      <w:lvlText w:val="•"/>
      <w:rPr>
        <w:color w:val="3370ff"/>
      </w:rPr>
    </w:lvl>
  </w:abstractNum>
  <w:abstractNum w:abstractNumId="2193071">
    <w:lvl>
      <w:numFmt w:val="bullet"/>
      <w:suff w:val="tab"/>
      <w:lvlText w:val="•"/>
      <w:rPr>
        <w:color w:val="3370ff"/>
      </w:rPr>
    </w:lvl>
  </w:abstractNum>
  <w:abstractNum w:abstractNumId="2193072">
    <w:lvl>
      <w:numFmt w:val="bullet"/>
      <w:suff w:val="tab"/>
      <w:lvlText w:val="•"/>
      <w:rPr>
        <w:color w:val="3370ff"/>
      </w:rPr>
    </w:lvl>
  </w:abstractNum>
  <w:abstractNum w:abstractNumId="2193073">
    <w:lvl>
      <w:numFmt w:val="bullet"/>
      <w:suff w:val="tab"/>
      <w:lvlText w:val="•"/>
      <w:rPr>
        <w:color w:val="3370ff"/>
      </w:rPr>
    </w:lvl>
  </w:abstractNum>
  <w:abstractNum w:abstractNumId="2193074">
    <w:lvl>
      <w:numFmt w:val="bullet"/>
      <w:suff w:val="tab"/>
      <w:lvlText w:val="•"/>
      <w:rPr>
        <w:color w:val="3370ff"/>
      </w:rPr>
    </w:lvl>
  </w:abstractNum>
  <w:abstractNum w:abstractNumId="2193075">
    <w:lvl>
      <w:start w:val="1"/>
      <w:numFmt w:val="decimal"/>
      <w:suff w:val="tab"/>
      <w:lvlText w:val="%1."/>
      <w:rPr>
        <w:color w:val="3370ff"/>
      </w:rPr>
    </w:lvl>
  </w:abstractNum>
  <w:abstractNum w:abstractNumId="2193076">
    <w:lvl>
      <w:start w:val="2"/>
      <w:numFmt w:val="decimal"/>
      <w:suff w:val="tab"/>
      <w:lvlText w:val="%1."/>
      <w:rPr>
        <w:color w:val="3370ff"/>
      </w:rPr>
    </w:lvl>
  </w:abstractNum>
  <w:abstractNum w:abstractNumId="2193077">
    <w:lvl>
      <w:start w:val="3"/>
      <w:numFmt w:val="decimal"/>
      <w:suff w:val="tab"/>
      <w:lvlText w:val="%1."/>
      <w:rPr>
        <w:color w:val="3370ff"/>
      </w:rPr>
    </w:lvl>
  </w:abstractNum>
  <w:abstractNum w:abstractNumId="2193078">
    <w:lvl>
      <w:start w:val="4"/>
      <w:numFmt w:val="decimal"/>
      <w:suff w:val="tab"/>
      <w:lvlText w:val="%1."/>
      <w:rPr>
        <w:color w:val="3370ff"/>
      </w:rPr>
    </w:lvl>
  </w:abstractNum>
  <w:abstractNum w:abstractNumId="2193079">
    <w:lvl>
      <w:start w:val="5"/>
      <w:numFmt w:val="decimal"/>
      <w:suff w:val="tab"/>
      <w:lvlText w:val="%1."/>
      <w:rPr>
        <w:color w:val="3370ff"/>
      </w:rPr>
    </w:lvl>
  </w:abstractNum>
  <w:abstractNum w:abstractNumId="2193080">
    <w:lvl>
      <w:start w:val="6"/>
      <w:numFmt w:val="decimal"/>
      <w:suff w:val="tab"/>
      <w:lvlText w:val="%1."/>
      <w:rPr>
        <w:color w:val="3370ff"/>
      </w:rPr>
    </w:lvl>
  </w:abstractNum>
  <w:abstractNum w:abstractNumId="2193081">
    <w:lvl>
      <w:numFmt w:val="bullet"/>
      <w:suff w:val="tab"/>
      <w:lvlText w:val="￮"/>
      <w:rPr>
        <w:color w:val="3370ff"/>
      </w:rPr>
    </w:lvl>
  </w:abstractNum>
  <w:abstractNum w:abstractNumId="2193082">
    <w:lvl>
      <w:numFmt w:val="bullet"/>
      <w:suff w:val="tab"/>
      <w:lvlText w:val="￮"/>
      <w:rPr>
        <w:color w:val="3370ff"/>
      </w:rPr>
    </w:lvl>
  </w:abstractNum>
  <w:abstractNum w:abstractNumId="2193083">
    <w:lvl>
      <w:numFmt w:val="bullet"/>
      <w:suff w:val="tab"/>
      <w:lvlText w:val="￮"/>
      <w:rPr>
        <w:color w:val="3370ff"/>
      </w:rPr>
    </w:lvl>
  </w:abstractNum>
  <w:abstractNum w:abstractNumId="2193084">
    <w:lvl>
      <w:numFmt w:val="bullet"/>
      <w:suff w:val="tab"/>
      <w:lvlText w:val="￮"/>
      <w:rPr>
        <w:color w:val="3370ff"/>
      </w:rPr>
    </w:lvl>
  </w:abstractNum>
  <w:abstractNum w:abstractNumId="2193085">
    <w:lvl>
      <w:start w:val="1"/>
      <w:numFmt w:val="lowerLetter"/>
      <w:suff w:val="tab"/>
      <w:lvlText w:val="%1."/>
      <w:rPr>
        <w:color w:val="3370ff"/>
      </w:rPr>
    </w:lvl>
  </w:abstractNum>
  <w:abstractNum w:abstractNumId="2193086">
    <w:lvl>
      <w:start w:val="2"/>
      <w:numFmt w:val="lowerLetter"/>
      <w:suff w:val="tab"/>
      <w:lvlText w:val="%1."/>
      <w:rPr>
        <w:color w:val="3370ff"/>
      </w:rPr>
    </w:lvl>
  </w:abstractNum>
  <w:abstractNum w:abstractNumId="2193087">
    <w:lvl>
      <w:start w:val="3"/>
      <w:numFmt w:val="lowerLetter"/>
      <w:suff w:val="tab"/>
      <w:lvlText w:val="%1."/>
      <w:rPr>
        <w:color w:val="3370ff"/>
      </w:rPr>
    </w:lvl>
  </w:abstractNum>
  <w:abstractNum w:abstractNumId="2193088">
    <w:lvl>
      <w:start w:val="4"/>
      <w:numFmt w:val="lowerLetter"/>
      <w:suff w:val="tab"/>
      <w:lvlText w:val="%1."/>
      <w:rPr>
        <w:color w:val="3370ff"/>
      </w:rPr>
    </w:lvl>
  </w:abstractNum>
  <w:abstractNum w:abstractNumId="2193089">
    <w:lvl>
      <w:start w:val="5"/>
      <w:numFmt w:val="lowerLetter"/>
      <w:suff w:val="tab"/>
      <w:lvlText w:val="%1."/>
      <w:rPr>
        <w:color w:val="3370ff"/>
      </w:rPr>
    </w:lvl>
  </w:abstractNum>
  <w:abstractNum w:abstractNumId="2193090">
    <w:lvl>
      <w:numFmt w:val="bullet"/>
      <w:suff w:val="tab"/>
      <w:lvlText w:val="•"/>
      <w:rPr>
        <w:color w:val="3370ff"/>
      </w:rPr>
    </w:lvl>
  </w:abstractNum>
  <w:abstractNum w:abstractNumId="2193091">
    <w:lvl>
      <w:numFmt w:val="bullet"/>
      <w:suff w:val="tab"/>
      <w:lvlText w:val="•"/>
      <w:rPr>
        <w:color w:val="3370ff"/>
      </w:rPr>
    </w:lvl>
  </w:abstractNum>
  <w:abstractNum w:abstractNumId="2193092">
    <w:lvl>
      <w:numFmt w:val="bullet"/>
      <w:suff w:val="tab"/>
      <w:lvlText w:val="•"/>
      <w:rPr>
        <w:color w:val="3370ff"/>
      </w:rPr>
    </w:lvl>
  </w:abstractNum>
  <w:abstractNum w:abstractNumId="2193093">
    <w:lvl>
      <w:numFmt w:val="bullet"/>
      <w:suff w:val="tab"/>
      <w:lvlText w:val="•"/>
      <w:rPr>
        <w:color w:val="3370ff"/>
      </w:rPr>
    </w:lvl>
  </w:abstractNum>
  <w:abstractNum w:abstractNumId="2193094">
    <w:lvl>
      <w:numFmt w:val="bullet"/>
      <w:suff w:val="tab"/>
      <w:lvlText w:val="•"/>
      <w:rPr>
        <w:color w:val="3370ff"/>
      </w:rPr>
    </w:lvl>
  </w:abstractNum>
  <w:abstractNum w:abstractNumId="2193095">
    <w:lvl>
      <w:start w:val="1"/>
      <w:numFmt w:val="decimal"/>
      <w:suff w:val="tab"/>
      <w:lvlText w:val="%1."/>
      <w:rPr>
        <w:color w:val="3370ff"/>
      </w:rPr>
    </w:lvl>
  </w:abstractNum>
  <w:abstractNum w:abstractNumId="2193096">
    <w:lvl>
      <w:start w:val="2"/>
      <w:numFmt w:val="decimal"/>
      <w:suff w:val="tab"/>
      <w:lvlText w:val="%1."/>
      <w:rPr>
        <w:color w:val="3370ff"/>
      </w:rPr>
    </w:lvl>
  </w:abstractNum>
  <w:abstractNum w:abstractNumId="2193097">
    <w:lvl>
      <w:start w:val="3"/>
      <w:numFmt w:val="decimal"/>
      <w:suff w:val="tab"/>
      <w:lvlText w:val="%1."/>
      <w:rPr>
        <w:color w:val="3370ff"/>
      </w:rPr>
    </w:lvl>
  </w:abstractNum>
  <w:abstractNum w:abstractNumId="2193098">
    <w:lvl>
      <w:start w:val="4"/>
      <w:numFmt w:val="decimal"/>
      <w:suff w:val="tab"/>
      <w:lvlText w:val="%1."/>
      <w:rPr>
        <w:color w:val="3370ff"/>
      </w:rPr>
    </w:lvl>
  </w:abstractNum>
  <w:abstractNum w:abstractNumId="2193099">
    <w:lvl>
      <w:start w:val="5"/>
      <w:numFmt w:val="decimal"/>
      <w:suff w:val="tab"/>
      <w:lvlText w:val="%1."/>
      <w:rPr>
        <w:color w:val="3370ff"/>
      </w:rPr>
    </w:lvl>
  </w:abstractNum>
  <w:abstractNum w:abstractNumId="2193100">
    <w:lvl>
      <w:start w:val="1"/>
      <w:numFmt w:val="decimal"/>
      <w:suff w:val="tab"/>
      <w:lvlText w:val="%1."/>
      <w:rPr>
        <w:color w:val="3370ff"/>
      </w:rPr>
    </w:lvl>
  </w:abstractNum>
  <w:num w:numId="1">
    <w:abstractNumId w:val="2193053"/>
  </w:num>
  <w:num w:numId="2">
    <w:abstractNumId w:val="2193054"/>
  </w:num>
  <w:num w:numId="3">
    <w:abstractNumId w:val="2193055"/>
  </w:num>
  <w:num w:numId="4">
    <w:abstractNumId w:val="2193056"/>
  </w:num>
  <w:num w:numId="5">
    <w:abstractNumId w:val="2193057"/>
  </w:num>
  <w:num w:numId="6">
    <w:abstractNumId w:val="2193058"/>
  </w:num>
  <w:num w:numId="7">
    <w:abstractNumId w:val="2193059"/>
  </w:num>
  <w:num w:numId="8">
    <w:abstractNumId w:val="2193060"/>
  </w:num>
  <w:num w:numId="9">
    <w:abstractNumId w:val="2193061"/>
  </w:num>
  <w:num w:numId="10">
    <w:abstractNumId w:val="2193062"/>
  </w:num>
  <w:num w:numId="11">
    <w:abstractNumId w:val="2193063"/>
  </w:num>
  <w:num w:numId="12">
    <w:abstractNumId w:val="2193064"/>
  </w:num>
  <w:num w:numId="13">
    <w:abstractNumId w:val="2193065"/>
  </w:num>
  <w:num w:numId="14">
    <w:abstractNumId w:val="2193066"/>
  </w:num>
  <w:num w:numId="15">
    <w:abstractNumId w:val="2193067"/>
  </w:num>
  <w:num w:numId="16">
    <w:abstractNumId w:val="2193068"/>
  </w:num>
  <w:num w:numId="17">
    <w:abstractNumId w:val="2193069"/>
  </w:num>
  <w:num w:numId="18">
    <w:abstractNumId w:val="2193070"/>
  </w:num>
  <w:num w:numId="19">
    <w:abstractNumId w:val="2193071"/>
  </w:num>
  <w:num w:numId="20">
    <w:abstractNumId w:val="2193072"/>
  </w:num>
  <w:num w:numId="21">
    <w:abstractNumId w:val="2193073"/>
  </w:num>
  <w:num w:numId="22">
    <w:abstractNumId w:val="2193074"/>
  </w:num>
  <w:num w:numId="23">
    <w:abstractNumId w:val="2193075"/>
  </w:num>
  <w:num w:numId="24">
    <w:abstractNumId w:val="2193076"/>
  </w:num>
  <w:num w:numId="25">
    <w:abstractNumId w:val="2193077"/>
  </w:num>
  <w:num w:numId="26">
    <w:abstractNumId w:val="2193078"/>
  </w:num>
  <w:num w:numId="27">
    <w:abstractNumId w:val="2193079"/>
  </w:num>
  <w:num w:numId="28">
    <w:abstractNumId w:val="2193080"/>
  </w:num>
  <w:num w:numId="29">
    <w:abstractNumId w:val="2193081"/>
  </w:num>
  <w:num w:numId="30">
    <w:abstractNumId w:val="2193082"/>
  </w:num>
  <w:num w:numId="31">
    <w:abstractNumId w:val="2193083"/>
  </w:num>
  <w:num w:numId="32">
    <w:abstractNumId w:val="2193084"/>
  </w:num>
  <w:num w:numId="33">
    <w:abstractNumId w:val="2193085"/>
  </w:num>
  <w:num w:numId="34">
    <w:abstractNumId w:val="2193086"/>
  </w:num>
  <w:num w:numId="35">
    <w:abstractNumId w:val="2193087"/>
  </w:num>
  <w:num w:numId="36">
    <w:abstractNumId w:val="2193088"/>
  </w:num>
  <w:num w:numId="37">
    <w:abstractNumId w:val="2193089"/>
  </w:num>
  <w:num w:numId="38">
    <w:abstractNumId w:val="2193090"/>
  </w:num>
  <w:num w:numId="39">
    <w:abstractNumId w:val="2193091"/>
  </w:num>
  <w:num w:numId="40">
    <w:abstractNumId w:val="2193092"/>
  </w:num>
  <w:num w:numId="41">
    <w:abstractNumId w:val="2193093"/>
  </w:num>
  <w:num w:numId="42">
    <w:abstractNumId w:val="2193094"/>
  </w:num>
  <w:num w:numId="43">
    <w:abstractNumId w:val="2193095"/>
  </w:num>
  <w:num w:numId="44">
    <w:abstractNumId w:val="2193096"/>
  </w:num>
  <w:num w:numId="45">
    <w:abstractNumId w:val="2193097"/>
  </w:num>
  <w:num w:numId="46">
    <w:abstractNumId w:val="2193098"/>
  </w:num>
  <w:num w:numId="47">
    <w:abstractNumId w:val="2193099"/>
  </w:num>
  <w:num w:numId="48">
    <w:abstractNumId w:val="21931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newhope1982.feishu.cn/docx/H6modqejwo7YDgx1uNZc8WU9nPb" TargetMode="External" Type="http://schemas.openxmlformats.org/officeDocument/2006/relationships/hyperlink"/><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2025-12-30T10:53:53Z</dcterms:created>
  <dc:creator>Apache POI</dc:creator>
</cp:coreProperties>
</file>