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心云联动——打造“医院-家庭”无缝衔接的康复管家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核心理念：打造“医院-家庭”无缝衔接的康复管家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为目标用户（心脏支架、搭桥、瓣膜置换、射频消融等术后患者）提供为期</w:t>
      </w:r>
      <w:r>
        <w:rPr>
          <w:rFonts w:eastAsia="等线" w:ascii="Arial" w:cs="Arial" w:hAnsi="Arial"/>
          <w:b w:val="true"/>
          <w:color w:val="d83931"/>
          <w:sz w:val="22"/>
        </w:rPr>
        <w:t>90-180天的密集型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color w:val="d83931"/>
          <w:sz w:val="22"/>
        </w:rPr>
        <w:t>个性化</w:t>
      </w:r>
      <w:r>
        <w:rPr>
          <w:rFonts w:eastAsia="等线" w:ascii="Arial" w:cs="Arial" w:hAnsi="Arial"/>
          <w:sz w:val="22"/>
        </w:rPr>
        <w:t>康复管理服务，消除出院后的</w:t>
      </w:r>
      <w:r>
        <w:rPr>
          <w:rFonts w:eastAsia="等线" w:ascii="Arial" w:cs="Arial" w:hAnsi="Arial"/>
          <w:b w:val="true"/>
          <w:color w:val="d83931"/>
          <w:sz w:val="22"/>
        </w:rPr>
        <w:t>“迷茫与恐惧”</w:t>
      </w:r>
      <w:r>
        <w:rPr>
          <w:rFonts w:eastAsia="等线" w:ascii="Arial" w:cs="Arial" w:hAnsi="Arial"/>
          <w:sz w:val="22"/>
        </w:rPr>
        <w:t>，降低再入院率，提升生活品质。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一、 上游厂商整合：提供精准数据的“硬件+检测”伙伴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上游的核心是可靠、便捷、可及的数据采集工具，它们是服务的起点。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整合要点：与上游厂商谈判，</w:t>
      </w:r>
      <w:r>
        <w:rPr>
          <w:rFonts w:eastAsia="等线" w:ascii="Arial" w:cs="Arial" w:hAnsi="Arial"/>
          <w:b w:val="true"/>
          <w:sz w:val="22"/>
        </w:rPr>
        <w:t>目标不是成为他们的分销商</w:t>
      </w:r>
      <w:r>
        <w:rPr>
          <w:rFonts w:eastAsia="等线" w:ascii="Arial" w:cs="Arial" w:hAnsi="Arial"/>
          <w:sz w:val="22"/>
        </w:rPr>
        <w:t>，而是</w:t>
      </w:r>
      <w:r>
        <w:rPr>
          <w:rFonts w:eastAsia="等线" w:ascii="Arial" w:cs="Arial" w:hAnsi="Arial"/>
          <w:b w:val="true"/>
          <w:color w:val="d83931"/>
          <w:sz w:val="22"/>
        </w:rPr>
        <w:t>成为他们触达C端术后用户的战略通道</w:t>
      </w:r>
      <w:r>
        <w:rPr>
          <w:rFonts w:eastAsia="等线" w:ascii="Arial" w:cs="Arial" w:hAnsi="Arial"/>
          <w:sz w:val="22"/>
        </w:rPr>
        <w:t>。可以为他们提供精准的临床数据和用户反馈，换取更优惠的价格和更深度的技术对接。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二、 下游服务伙伴整合：提供专业干预的“服务+支持”伙伴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下游的核心是将数据转化为行动，为用户提供闭环的专业服务。</w:t>
      </w:r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整合要点：与下游伙伴谈判，</w:t>
      </w:r>
      <w:r>
        <w:rPr>
          <w:rFonts w:eastAsia="等线" w:ascii="Arial" w:cs="Arial" w:hAnsi="Arial"/>
          <w:b w:val="true"/>
          <w:color w:val="d83931"/>
          <w:sz w:val="22"/>
        </w:rPr>
        <w:t>核心价值是精准的流量和完整的用户画像</w:t>
      </w:r>
      <w:r>
        <w:rPr>
          <w:rFonts w:eastAsia="等线" w:ascii="Arial" w:cs="Arial" w:hAnsi="Arial"/>
          <w:sz w:val="22"/>
        </w:rPr>
        <w:t>。为他们带去的是有明确付费意愿和特定需求的高价值用户，从而换取服务的优先权、专属优惠和收入分成。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三、 核心运营策略：构建C端用户高粘性体系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获客渠道：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B2B2C（核心）：与三甲医院心内科/心脏外科/康复科合作，在患者出院时，由医生推荐的服务，成为“电子出院指导”的一部分。这是最精准、最信任的获客方式。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线上内容营销：运营抖音、小红书、微信公众号，以“心脏康复专家”人设输出科普内容（如：术后一周饮食指南、如何在家做康复操），吸引自然流量。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保险合作：与商业健康险公司合作，将管理服务作为其高端健康险的增值服务，共同降低理赔风险。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服务产品化：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推出标准化套餐：如“支架术后安心套餐（90天）”、“搭桥术后尊享套餐（180天）”，明确定价和服务内容，包含硬件租赁、数据解读、专家问诊次数、康复课程等。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增值服务：提供单次心电图解读、上门护理、心理咨询等按需付费的增值服务。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技术平台体验：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开发一款极致的C端App：界面简洁、字体大、操作简单（充分考虑中老年用户）。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核心功能：数据看板（一目了然）、异常预警（AI+人工双重审核）、一键问诊、服药提醒、康复课程视频、社群交流。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家庭关怀功能：开发“家人端”小程序，让子女可远程查看父母的数据报告和康复进度，增强付费意愿。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成功的关键 metric（指标）：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用户依从率：服药、测量、完成康复任务的比率。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满意度（NPS）：用户愿意向病友推荐我们服务的程度。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再入院率：跟踪管理期内用户的再入院情况，这是体现医疗价值的黄金指标。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总结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专注C端心血管术后管理，本质上是在经营一个</w:t>
      </w:r>
      <w:r>
        <w:rPr>
          <w:rFonts w:eastAsia="等线" w:ascii="Arial" w:cs="Arial" w:hAnsi="Arial"/>
          <w:b w:val="true"/>
          <w:color w:val="d83931"/>
          <w:sz w:val="22"/>
        </w:rPr>
        <w:t xml:space="preserve"> “数字疗法”+“深度服务”</w:t>
      </w:r>
      <w:r>
        <w:rPr>
          <w:rFonts w:eastAsia="等线" w:ascii="Arial" w:cs="Arial" w:hAnsi="Arial"/>
          <w:color w:val="d83931"/>
          <w:sz w:val="22"/>
        </w:rPr>
        <w:t xml:space="preserve"> </w:t>
      </w:r>
      <w:r>
        <w:rPr>
          <w:rFonts w:eastAsia="等线" w:ascii="Arial" w:cs="Arial" w:hAnsi="Arial"/>
          <w:sz w:val="22"/>
        </w:rPr>
        <w:t>的品牌。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上游靠硬件+数据触达用户。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下游靠专业服务留住用户并创造价值。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自己的核心竞争力是</w:t>
      </w:r>
      <w:r>
        <w:rPr>
          <w:rFonts w:eastAsia="等线" w:ascii="Arial" w:cs="Arial" w:hAnsi="Arial"/>
          <w:b w:val="true"/>
          <w:color w:val="d83931"/>
          <w:sz w:val="22"/>
        </w:rPr>
        <w:t>整合能力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color w:val="d83931"/>
          <w:sz w:val="22"/>
        </w:rPr>
        <w:t>运营能力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color w:val="d83931"/>
          <w:sz w:val="22"/>
        </w:rPr>
        <w:t>品牌公信力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通过为患者提供一段省心、安心、有效的康复旅程，不仅能建立强大的商业壁垒，更能创造巨大的社会价值。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529803">
    <w:lvl>
      <w:start w:val="1"/>
      <w:numFmt w:val="decimal"/>
      <w:suff w:val="tab"/>
      <w:lvlText w:val="%1."/>
      <w:rPr>
        <w:color w:val="3370ff"/>
      </w:rPr>
    </w:lvl>
  </w:abstractNum>
  <w:abstractNum w:abstractNumId="1529804">
    <w:lvl>
      <w:numFmt w:val="bullet"/>
      <w:suff w:val="tab"/>
      <w:lvlText w:val="￮"/>
      <w:rPr>
        <w:color w:val="3370ff"/>
      </w:rPr>
    </w:lvl>
  </w:abstractNum>
  <w:abstractNum w:abstractNumId="1529805">
    <w:lvl>
      <w:numFmt w:val="bullet"/>
      <w:suff w:val="tab"/>
      <w:lvlText w:val="￮"/>
      <w:rPr>
        <w:color w:val="3370ff"/>
      </w:rPr>
    </w:lvl>
  </w:abstractNum>
  <w:abstractNum w:abstractNumId="1529806">
    <w:lvl>
      <w:numFmt w:val="bullet"/>
      <w:suff w:val="tab"/>
      <w:lvlText w:val="￮"/>
      <w:rPr>
        <w:color w:val="3370ff"/>
      </w:rPr>
    </w:lvl>
  </w:abstractNum>
  <w:abstractNum w:abstractNumId="1529807">
    <w:lvl>
      <w:start w:val="2"/>
      <w:numFmt w:val="decimal"/>
      <w:suff w:val="tab"/>
      <w:lvlText w:val="%1."/>
      <w:rPr>
        <w:color w:val="3370ff"/>
      </w:rPr>
    </w:lvl>
  </w:abstractNum>
  <w:abstractNum w:abstractNumId="1529808">
    <w:lvl>
      <w:numFmt w:val="bullet"/>
      <w:suff w:val="tab"/>
      <w:lvlText w:val="￮"/>
      <w:rPr>
        <w:color w:val="3370ff"/>
      </w:rPr>
    </w:lvl>
  </w:abstractNum>
  <w:abstractNum w:abstractNumId="1529809">
    <w:lvl>
      <w:numFmt w:val="bullet"/>
      <w:suff w:val="tab"/>
      <w:lvlText w:val="￮"/>
      <w:rPr>
        <w:color w:val="3370ff"/>
      </w:rPr>
    </w:lvl>
  </w:abstractNum>
  <w:abstractNum w:abstractNumId="1529810">
    <w:lvl>
      <w:start w:val="3"/>
      <w:numFmt w:val="decimal"/>
      <w:suff w:val="tab"/>
      <w:lvlText w:val="%1."/>
      <w:rPr>
        <w:color w:val="3370ff"/>
      </w:rPr>
    </w:lvl>
  </w:abstractNum>
  <w:abstractNum w:abstractNumId="1529811">
    <w:lvl>
      <w:numFmt w:val="bullet"/>
      <w:suff w:val="tab"/>
      <w:lvlText w:val="￮"/>
      <w:rPr>
        <w:color w:val="3370ff"/>
      </w:rPr>
    </w:lvl>
  </w:abstractNum>
  <w:abstractNum w:abstractNumId="1529812">
    <w:lvl>
      <w:numFmt w:val="bullet"/>
      <w:suff w:val="tab"/>
      <w:lvlText w:val="￮"/>
      <w:rPr>
        <w:color w:val="3370ff"/>
      </w:rPr>
    </w:lvl>
  </w:abstractNum>
  <w:abstractNum w:abstractNumId="1529813">
    <w:lvl>
      <w:numFmt w:val="bullet"/>
      <w:suff w:val="tab"/>
      <w:lvlText w:val="￮"/>
      <w:rPr>
        <w:color w:val="3370ff"/>
      </w:rPr>
    </w:lvl>
  </w:abstractNum>
  <w:abstractNum w:abstractNumId="1529814">
    <w:lvl>
      <w:start w:val="4"/>
      <w:numFmt w:val="decimal"/>
      <w:suff w:val="tab"/>
      <w:lvlText w:val="%1."/>
      <w:rPr>
        <w:color w:val="3370ff"/>
      </w:rPr>
    </w:lvl>
  </w:abstractNum>
  <w:abstractNum w:abstractNumId="1529815">
    <w:lvl>
      <w:numFmt w:val="bullet"/>
      <w:suff w:val="tab"/>
      <w:lvlText w:val="￮"/>
      <w:rPr>
        <w:color w:val="3370ff"/>
      </w:rPr>
    </w:lvl>
  </w:abstractNum>
  <w:abstractNum w:abstractNumId="1529816">
    <w:lvl>
      <w:numFmt w:val="bullet"/>
      <w:suff w:val="tab"/>
      <w:lvlText w:val="￮"/>
      <w:rPr>
        <w:color w:val="3370ff"/>
      </w:rPr>
    </w:lvl>
  </w:abstractNum>
  <w:abstractNum w:abstractNumId="1529817">
    <w:lvl>
      <w:numFmt w:val="bullet"/>
      <w:suff w:val="tab"/>
      <w:lvlText w:val="￮"/>
      <w:rPr>
        <w:color w:val="3370ff"/>
      </w:rPr>
    </w:lvl>
  </w:abstractNum>
  <w:abstractNum w:abstractNumId="1529818">
    <w:lvl>
      <w:numFmt w:val="bullet"/>
      <w:suff w:val="tab"/>
      <w:lvlText w:val="•"/>
      <w:rPr>
        <w:color w:val="3370ff"/>
      </w:rPr>
    </w:lvl>
  </w:abstractNum>
  <w:abstractNum w:abstractNumId="1529819">
    <w:lvl>
      <w:numFmt w:val="bullet"/>
      <w:suff w:val="tab"/>
      <w:lvlText w:val="•"/>
      <w:rPr>
        <w:color w:val="3370ff"/>
      </w:rPr>
    </w:lvl>
  </w:abstractNum>
  <w:abstractNum w:abstractNumId="1529820">
    <w:lvl>
      <w:numFmt w:val="bullet"/>
      <w:suff w:val="tab"/>
      <w:lvlText w:val="•"/>
      <w:rPr>
        <w:color w:val="3370ff"/>
      </w:rPr>
    </w:lvl>
  </w:abstractNum>
  <w:num w:numId="1">
    <w:abstractNumId w:val="1529803"/>
  </w:num>
  <w:num w:numId="2">
    <w:abstractNumId w:val="1529804"/>
  </w:num>
  <w:num w:numId="3">
    <w:abstractNumId w:val="1529805"/>
  </w:num>
  <w:num w:numId="4">
    <w:abstractNumId w:val="1529806"/>
  </w:num>
  <w:num w:numId="5">
    <w:abstractNumId w:val="1529807"/>
  </w:num>
  <w:num w:numId="6">
    <w:abstractNumId w:val="1529808"/>
  </w:num>
  <w:num w:numId="7">
    <w:abstractNumId w:val="1529809"/>
  </w:num>
  <w:num w:numId="8">
    <w:abstractNumId w:val="1529810"/>
  </w:num>
  <w:num w:numId="9">
    <w:abstractNumId w:val="1529811"/>
  </w:num>
  <w:num w:numId="10">
    <w:abstractNumId w:val="1529812"/>
  </w:num>
  <w:num w:numId="11">
    <w:abstractNumId w:val="1529813"/>
  </w:num>
  <w:num w:numId="12">
    <w:abstractNumId w:val="1529814"/>
  </w:num>
  <w:num w:numId="13">
    <w:abstractNumId w:val="1529815"/>
  </w:num>
  <w:num w:numId="14">
    <w:abstractNumId w:val="1529816"/>
  </w:num>
  <w:num w:numId="15">
    <w:abstractNumId w:val="1529817"/>
  </w:num>
  <w:num w:numId="16">
    <w:abstractNumId w:val="1529818"/>
  </w:num>
  <w:num w:numId="17">
    <w:abstractNumId w:val="1529819"/>
  </w:num>
  <w:num w:numId="18">
    <w:abstractNumId w:val="152982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embeddings/Microsoft_Excel_Worksheet2.xlsx" Type="http://schemas.openxmlformats.org/officeDocument/2006/relationships/package"/><Relationship Id="rId7" Target="media/image2.png" Type="http://schemas.openxmlformats.org/officeDocument/2006/relationships/image"/><Relationship Id="rId8" Target="numbering.xml" Type="http://schemas.openxmlformats.org/officeDocument/2006/relationships/numbering"/><Relationship Id="rId9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2025-12-30T11:25:13Z</dcterms:created>
  <dc:creator>Apache POI</dc:creator>
</cp:coreProperties>
</file>