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心电分析与提示软件ES-5000C-A产品技术要求</w:t>
      </w:r>
    </w:p>
    <w:p>
      <w:pPr>
        <w:spacing w:before="120" w:after="120" w:line="288" w:lineRule="auto"/>
        <w:ind w:left="0" w:firstLine="0"/>
        <w:jc w:val="left"/>
      </w:pPr>
      <w:r>
        <w:rPr>
          <w:rFonts w:eastAsia="等线" w:ascii="Arial" w:cs="Arial" w:hAnsi="Arial"/>
          <w:b w:val="true"/>
          <w:sz w:val="22"/>
        </w:rPr>
        <w:t>医疗器械产品技术要求编号:</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心电分析与提示软件</w:t>
      </w:r>
    </w:p>
    <w:p>
      <w:pPr>
        <w:pStyle w:val="2"/>
        <w:spacing w:before="320" w:after="120" w:line="288" w:lineRule="auto"/>
        <w:ind w:left="0"/>
        <w:jc w:val="left"/>
        <w:outlineLvl w:val="1"/>
      </w:pPr>
      <w:bookmarkStart w:name="heading_0" w:id="0"/>
      <w:r>
        <w:rPr>
          <w:rFonts w:eastAsia="等线" w:ascii="Arial" w:cs="Arial" w:hAnsi="Arial"/>
          <w:b w:val="true"/>
          <w:sz w:val="32"/>
        </w:rPr>
        <w:t>产品型号/规格及其划分说明</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型号命名</w:t>
      </w:r>
      <w:bookmarkEnd w:id="1"/>
    </w:p>
    <w:p>
      <w:pPr>
        <w:spacing w:before="120" w:after="120" w:line="288" w:lineRule="auto"/>
        <w:ind w:left="0" w:firstLine="0"/>
        <w:jc w:val="left"/>
      </w:pPr>
      <w:r>
        <w:rPr>
          <w:rFonts w:eastAsia="等线" w:ascii="Arial" w:cs="Arial" w:hAnsi="Arial"/>
          <w:sz w:val="22"/>
          <w:u w:val="single"/>
        </w:rPr>
        <w:t>ES-5000C</w:t>
      </w:r>
      <w:r>
        <w:rPr>
          <w:rFonts w:eastAsia="等线" w:ascii="Arial" w:cs="Arial" w:hAnsi="Arial"/>
          <w:sz w:val="22"/>
        </w:rPr>
        <w:t>-</w:t>
      </w:r>
      <w:r>
        <w:rPr>
          <w:rFonts w:eastAsia="等线" w:ascii="Arial" w:cs="Arial" w:hAnsi="Arial"/>
          <w:sz w:val="22"/>
          <w:u w:val="single"/>
        </w:rPr>
        <w:t>X</w:t>
      </w:r>
    </w:p>
    <w:p>
      <w:pPr>
        <w:spacing w:before="120" w:after="120" w:line="288" w:lineRule="auto"/>
        <w:ind w:left="0" w:firstLine="0"/>
        <w:jc w:val="left"/>
      </w:pPr>
      <w:r>
        <w:rPr>
          <w:rFonts w:eastAsia="等线" w:ascii="Arial" w:cs="Arial" w:hAnsi="Arial"/>
          <w:sz w:val="22"/>
        </w:rPr>
        <w:t>产品型号</w:t>
      </w:r>
    </w:p>
    <w:p>
      <w:pPr>
        <w:spacing w:before="120" w:after="120" w:line="288" w:lineRule="auto"/>
        <w:ind w:left="0" w:firstLine="0"/>
        <w:jc w:val="left"/>
      </w:pPr>
      <w:r>
        <w:rPr>
          <w:rFonts w:eastAsia="等线" w:ascii="Arial" w:cs="Arial" w:hAnsi="Arial"/>
          <w:sz w:val="22"/>
        </w:rPr>
        <w:t>产品代号</w:t>
      </w:r>
    </w:p>
    <w:p>
      <w:pPr>
        <w:spacing w:before="120" w:after="120" w:line="288" w:lineRule="auto"/>
        <w:ind w:left="0" w:firstLine="0"/>
        <w:jc w:val="left"/>
      </w:pPr>
      <w:r>
        <w:rPr>
          <w:rFonts w:eastAsia="等线" w:ascii="Arial" w:cs="Arial" w:hAnsi="Arial"/>
          <w:sz w:val="22"/>
        </w:rPr>
        <w:t>本产品型号为ES-5000C-A。</w:t>
      </w:r>
    </w:p>
    <w:p>
      <w:pPr>
        <w:pStyle w:val="3"/>
        <w:spacing w:before="300" w:after="120" w:line="288" w:lineRule="auto"/>
        <w:ind w:left="0"/>
        <w:jc w:val="left"/>
        <w:outlineLvl w:val="2"/>
      </w:pPr>
      <w:bookmarkStart w:name="heading_2" w:id="2"/>
      <w:r>
        <w:rPr>
          <w:rFonts w:eastAsia="等线" w:ascii="Arial" w:cs="Arial" w:hAnsi="Arial"/>
          <w:b w:val="true"/>
          <w:sz w:val="30"/>
        </w:rPr>
        <w:t>软件发布版本</w:t>
      </w:r>
      <w:bookmarkEnd w:id="2"/>
    </w:p>
    <w:p>
      <w:pPr>
        <w:spacing w:before="120" w:after="120" w:line="288" w:lineRule="auto"/>
        <w:ind w:left="0" w:firstLine="0"/>
        <w:jc w:val="left"/>
      </w:pPr>
      <w:r>
        <w:rPr>
          <w:rFonts w:eastAsia="等线" w:ascii="Arial" w:cs="Arial" w:hAnsi="Arial"/>
          <w:sz w:val="22"/>
        </w:rPr>
        <w:t>发布版本号：V1</w:t>
      </w:r>
    </w:p>
    <w:p>
      <w:pPr>
        <w:pStyle w:val="3"/>
        <w:spacing w:before="300" w:after="120" w:line="288" w:lineRule="auto"/>
        <w:ind w:left="0"/>
        <w:jc w:val="left"/>
        <w:outlineLvl w:val="2"/>
      </w:pPr>
      <w:bookmarkStart w:name="heading_3" w:id="3"/>
      <w:r>
        <w:rPr>
          <w:rFonts w:eastAsia="等线" w:ascii="Arial" w:cs="Arial" w:hAnsi="Arial"/>
          <w:b w:val="true"/>
          <w:sz w:val="30"/>
        </w:rPr>
        <w:t>版本命名规则</w:t>
      </w:r>
      <w:bookmarkEnd w:id="3"/>
    </w:p>
    <w:p>
      <w:pPr>
        <w:spacing w:before="120" w:after="120" w:line="288" w:lineRule="auto"/>
        <w:ind w:left="0" w:firstLine="0"/>
        <w:jc w:val="left"/>
      </w:pPr>
      <w:r>
        <w:rPr>
          <w:rFonts w:eastAsia="等线" w:ascii="Arial" w:cs="Arial" w:hAnsi="Arial"/>
          <w:sz w:val="22"/>
        </w:rPr>
        <w:t>软件完整版本命名规则：V主版本号.次版本号.修正版本.构建版本。</w:t>
      </w:r>
    </w:p>
    <w:p>
      <w:pPr>
        <w:spacing w:before="120" w:after="120" w:line="288" w:lineRule="auto"/>
        <w:ind w:left="0" w:firstLine="0"/>
        <w:jc w:val="left"/>
      </w:pPr>
      <w:r>
        <w:rPr>
          <w:rFonts w:eastAsia="等线" w:ascii="Arial" w:cs="Arial" w:hAnsi="Arial"/>
          <w:sz w:val="22"/>
        </w:rPr>
        <w:t>软件发布版本：主版本号。</w:t>
      </w:r>
    </w:p>
    <w:p>
      <w:pPr>
        <w:spacing w:before="120" w:after="120" w:line="288" w:lineRule="auto"/>
        <w:ind w:left="0" w:firstLine="0"/>
        <w:jc w:val="left"/>
      </w:pPr>
      <w:r>
        <w:rPr>
          <w:rFonts w:eastAsia="等线" w:ascii="Arial" w:cs="Arial" w:hAnsi="Arial"/>
          <w:sz w:val="22"/>
        </w:rPr>
        <w:t>主版本号：重大增强类软件更新，影响到医疗器械安全性或有效性的增强类更新，包括网络安全重大增强更新，外部软件环境产品更新、与医疗器械软件不兼容的版本更新；</w:t>
      </w:r>
    </w:p>
    <w:p>
      <w:pPr>
        <w:spacing w:before="120" w:after="120" w:line="288" w:lineRule="auto"/>
        <w:ind w:left="0" w:firstLine="0"/>
        <w:jc w:val="left"/>
      </w:pPr>
      <w:r>
        <w:rPr>
          <w:rFonts w:eastAsia="等线" w:ascii="Arial" w:cs="Arial" w:hAnsi="Arial"/>
          <w:sz w:val="22"/>
        </w:rPr>
        <w:t>次版本号：轻微增强类软件更新，不影响医疗器械安全性与有效性的增强类更新，包括网络安全轻微增强更新，外部软件环境补丁更新、与医疗器械软件兼容的版本更新；</w:t>
      </w:r>
    </w:p>
    <w:p>
      <w:pPr>
        <w:spacing w:before="120" w:after="120" w:line="288" w:lineRule="auto"/>
        <w:ind w:left="0" w:firstLine="0"/>
        <w:jc w:val="left"/>
      </w:pPr>
      <w:r>
        <w:rPr>
          <w:rFonts w:eastAsia="等线" w:ascii="Arial" w:cs="Arial" w:hAnsi="Arial"/>
          <w:sz w:val="22"/>
        </w:rPr>
        <w:t>修正版本：纠正类软件更新，不影响医疗器械安全性与有效性的纠正类更新，包括网络安全纠正更新；</w:t>
      </w:r>
    </w:p>
    <w:p>
      <w:pPr>
        <w:spacing w:before="120" w:after="120" w:line="288" w:lineRule="auto"/>
        <w:ind w:left="0" w:firstLine="0"/>
        <w:jc w:val="left"/>
      </w:pPr>
      <w:r>
        <w:rPr>
          <w:rFonts w:eastAsia="等线" w:ascii="Arial" w:cs="Arial" w:hAnsi="Arial"/>
          <w:sz w:val="22"/>
        </w:rPr>
        <w:t>构建版本：是指软件编译生成一个工作版本。</w:t>
      </w:r>
    </w:p>
    <w:p>
      <w:pPr>
        <w:pStyle w:val="3"/>
        <w:spacing w:before="300" w:after="120" w:line="288" w:lineRule="auto"/>
        <w:ind w:left="0"/>
        <w:jc w:val="left"/>
        <w:outlineLvl w:val="2"/>
      </w:pPr>
      <w:bookmarkStart w:name="heading_4" w:id="4"/>
      <w:r>
        <w:rPr>
          <w:rFonts w:eastAsia="等线" w:ascii="Arial" w:cs="Arial" w:hAnsi="Arial"/>
          <w:b w:val="true"/>
          <w:sz w:val="30"/>
        </w:rPr>
        <w:t>结构组成</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物理组成</w:t>
      </w:r>
      <w:bookmarkEnd w:id="5"/>
    </w:p>
    <w:p>
      <w:pPr>
        <w:spacing w:before="120" w:after="120" w:line="288" w:lineRule="auto"/>
        <w:ind w:left="0" w:firstLine="0"/>
        <w:jc w:val="left"/>
      </w:pPr>
      <w:r>
        <w:rPr>
          <w:rFonts w:eastAsia="等线" w:ascii="Arial" w:cs="Arial" w:hAnsi="Arial"/>
          <w:sz w:val="22"/>
        </w:rPr>
        <w:t>软件通过网上交付。</w:t>
      </w:r>
    </w:p>
    <w:p>
      <w:pPr>
        <w:pStyle w:val="3"/>
        <w:spacing w:before="300" w:after="120" w:line="288" w:lineRule="auto"/>
        <w:ind w:left="0"/>
        <w:jc w:val="left"/>
        <w:outlineLvl w:val="2"/>
      </w:pPr>
      <w:bookmarkStart w:name="heading_6" w:id="6"/>
      <w:r>
        <w:rPr>
          <w:rFonts w:eastAsia="等线" w:ascii="Arial" w:cs="Arial" w:hAnsi="Arial"/>
          <w:b w:val="true"/>
          <w:sz w:val="30"/>
        </w:rPr>
        <w:t>逻辑组成</w:t>
      </w:r>
      <w:bookmarkEnd w:id="6"/>
    </w:p>
    <w:p>
      <w:pPr>
        <w:spacing w:before="120" w:after="120" w:line="288" w:lineRule="auto"/>
        <w:ind w:left="0" w:firstLine="0"/>
        <w:jc w:val="left"/>
      </w:pPr>
      <w:r>
        <w:rPr>
          <w:rFonts w:eastAsia="等线" w:ascii="Arial" w:cs="Arial" w:hAnsi="Arial"/>
          <w:sz w:val="22"/>
        </w:rPr>
        <w:t>软件采用浏览器/服务器（B/S）架构，功能模块包括：算法服务、云平台（医生诊断分析客户端）、算法分析端。临床功能包括：数据的自动分析、设置、心电波形显示区、功能按钮操作、报告按钮操作、数据输出和特征参数。</w:t>
      </w:r>
    </w:p>
    <w:p>
      <w:pPr>
        <w:pStyle w:val="2"/>
        <w:spacing w:before="320" w:after="120" w:line="288" w:lineRule="auto"/>
        <w:ind w:left="0"/>
        <w:jc w:val="left"/>
        <w:outlineLvl w:val="1"/>
      </w:pPr>
      <w:bookmarkStart w:name="heading_7" w:id="7"/>
      <w:r>
        <w:rPr>
          <w:rFonts w:eastAsia="等线" w:ascii="Arial" w:cs="Arial" w:hAnsi="Arial"/>
          <w:b w:val="true"/>
          <w:sz w:val="32"/>
        </w:rPr>
        <w:t>性能指标</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通用要求</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功能</w:t>
      </w:r>
      <w:bookmarkEnd w:id="9"/>
    </w:p>
    <w:p>
      <w:pPr>
        <w:pStyle w:val="4"/>
        <w:spacing w:before="260" w:after="120" w:line="288" w:lineRule="auto"/>
        <w:ind w:left="0"/>
        <w:jc w:val="left"/>
        <w:outlineLvl w:val="3"/>
      </w:pPr>
      <w:bookmarkStart w:name="heading_10" w:id="10"/>
      <w:r>
        <w:rPr>
          <w:rFonts w:eastAsia="等线" w:ascii="Arial" w:cs="Arial" w:hAnsi="Arial"/>
          <w:b w:val="true"/>
          <w:sz w:val="28"/>
        </w:rPr>
        <w:t>2.1.1.1  数据的打开和自动分析</w:t>
      </w:r>
      <w:bookmarkEnd w:id="10"/>
    </w:p>
    <w:p>
      <w:pPr>
        <w:spacing w:before="120" w:after="120" w:line="288" w:lineRule="auto"/>
        <w:ind w:left="0" w:firstLine="0"/>
        <w:jc w:val="left"/>
      </w:pPr>
      <w:r>
        <w:rPr>
          <w:rFonts w:eastAsia="等线" w:ascii="Arial" w:cs="Arial" w:hAnsi="Arial"/>
          <w:sz w:val="22"/>
        </w:rPr>
        <w:t>a）打开数据</w:t>
      </w:r>
    </w:p>
    <w:p>
      <w:pPr>
        <w:spacing w:before="120" w:after="120" w:line="288" w:lineRule="auto"/>
        <w:ind w:left="0" w:firstLine="0"/>
        <w:jc w:val="left"/>
      </w:pPr>
      <w:r>
        <w:rPr>
          <w:rFonts w:eastAsia="等线" w:ascii="Arial" w:cs="Arial" w:hAnsi="Arial"/>
          <w:sz w:val="22"/>
        </w:rPr>
        <w:t>b）数据打开和分析显示</w:t>
      </w:r>
    </w:p>
    <w:p>
      <w:pPr>
        <w:spacing w:before="120" w:after="120" w:line="288" w:lineRule="auto"/>
        <w:ind w:left="0" w:firstLine="0"/>
        <w:jc w:val="left"/>
      </w:pPr>
      <w:r>
        <w:rPr>
          <w:rFonts w:eastAsia="等线" w:ascii="Arial" w:cs="Arial" w:hAnsi="Arial"/>
          <w:sz w:val="22"/>
        </w:rPr>
        <w:t>分析显示5项心电特征参数，包括：心率、PR间期、QRS时限、QT间期、QTc。</w:t>
      </w:r>
    </w:p>
    <w:p>
      <w:pPr>
        <w:pStyle w:val="4"/>
        <w:spacing w:before="260" w:after="120" w:line="288" w:lineRule="auto"/>
        <w:ind w:left="0"/>
        <w:jc w:val="left"/>
        <w:outlineLvl w:val="3"/>
      </w:pPr>
      <w:bookmarkStart w:name="heading_11" w:id="11"/>
      <w:r>
        <w:rPr>
          <w:rFonts w:eastAsia="等线" w:ascii="Arial" w:cs="Arial" w:hAnsi="Arial"/>
          <w:b w:val="true"/>
          <w:sz w:val="28"/>
        </w:rPr>
        <w:t>2.1.1.2  设置</w:t>
      </w:r>
      <w:bookmarkEnd w:id="11"/>
    </w:p>
    <w:p>
      <w:pPr>
        <w:spacing w:before="120" w:after="120" w:line="288" w:lineRule="auto"/>
        <w:ind w:left="0" w:firstLine="0"/>
        <w:jc w:val="left"/>
      </w:pPr>
      <w:r>
        <w:rPr>
          <w:rFonts w:eastAsia="等线" w:ascii="Arial" w:cs="Arial" w:hAnsi="Arial"/>
          <w:sz w:val="22"/>
        </w:rPr>
        <w:t>a）心搏颜色设置</w:t>
      </w:r>
    </w:p>
    <w:p>
      <w:pPr>
        <w:spacing w:before="120" w:after="120" w:line="288" w:lineRule="auto"/>
        <w:ind w:left="0" w:firstLine="0"/>
        <w:jc w:val="left"/>
      </w:pPr>
      <w:r>
        <w:rPr>
          <w:rFonts w:eastAsia="等线" w:ascii="Arial" w:cs="Arial" w:hAnsi="Arial"/>
          <w:sz w:val="22"/>
        </w:rPr>
        <w:t>b）底格线亮度调整</w:t>
      </w:r>
    </w:p>
    <w:p>
      <w:pPr>
        <w:pStyle w:val="4"/>
        <w:spacing w:before="260" w:after="120" w:line="288" w:lineRule="auto"/>
        <w:ind w:left="0"/>
        <w:jc w:val="left"/>
        <w:outlineLvl w:val="3"/>
      </w:pPr>
      <w:bookmarkStart w:name="heading_12" w:id="12"/>
      <w:r>
        <w:rPr>
          <w:rFonts w:eastAsia="等线" w:ascii="Arial" w:cs="Arial" w:hAnsi="Arial"/>
          <w:b w:val="true"/>
          <w:sz w:val="28"/>
        </w:rPr>
        <w:t>2.1.1.3  心电波形显示区</w:t>
      </w:r>
      <w:bookmarkEnd w:id="12"/>
    </w:p>
    <w:p>
      <w:pPr>
        <w:spacing w:before="120" w:after="120" w:line="288" w:lineRule="auto"/>
        <w:ind w:left="0" w:firstLine="0"/>
        <w:jc w:val="left"/>
      </w:pPr>
      <w:r>
        <w:rPr>
          <w:rFonts w:eastAsia="等线" w:ascii="Arial" w:cs="Arial" w:hAnsi="Arial"/>
          <w:sz w:val="22"/>
        </w:rPr>
        <w:t>a）心电波形选中</w:t>
      </w:r>
    </w:p>
    <w:p>
      <w:pPr>
        <w:spacing w:before="120" w:after="120" w:line="288" w:lineRule="auto"/>
        <w:ind w:left="0" w:firstLine="0"/>
        <w:jc w:val="left"/>
      </w:pPr>
      <w:r>
        <w:rPr>
          <w:rFonts w:eastAsia="等线" w:ascii="Arial" w:cs="Arial" w:hAnsi="Arial"/>
          <w:sz w:val="22"/>
        </w:rPr>
        <w:t>b）心电图数据翻页浏览</w:t>
      </w:r>
    </w:p>
    <w:p>
      <w:pPr>
        <w:pStyle w:val="4"/>
        <w:spacing w:before="260" w:after="120" w:line="288" w:lineRule="auto"/>
        <w:ind w:left="0"/>
        <w:jc w:val="left"/>
        <w:outlineLvl w:val="3"/>
      </w:pPr>
      <w:bookmarkStart w:name="heading_13" w:id="13"/>
      <w:r>
        <w:rPr>
          <w:rFonts w:eastAsia="等线" w:ascii="Arial" w:cs="Arial" w:hAnsi="Arial"/>
          <w:b w:val="true"/>
          <w:sz w:val="28"/>
        </w:rPr>
        <w:t>2.1.1.4  功能按钮操作</w:t>
      </w:r>
      <w:bookmarkEnd w:id="13"/>
    </w:p>
    <w:p>
      <w:pPr>
        <w:spacing w:before="120" w:after="120" w:line="288" w:lineRule="auto"/>
        <w:ind w:left="0" w:firstLine="0"/>
        <w:jc w:val="left"/>
      </w:pPr>
      <w:r>
        <w:rPr>
          <w:rFonts w:eastAsia="等线" w:ascii="Arial" w:cs="Arial" w:hAnsi="Arial"/>
          <w:sz w:val="22"/>
        </w:rPr>
        <w:t>a）心搏类型修改</w:t>
      </w:r>
    </w:p>
    <w:p>
      <w:pPr>
        <w:spacing w:before="120" w:after="120" w:line="288" w:lineRule="auto"/>
        <w:ind w:left="0" w:firstLine="0"/>
        <w:jc w:val="left"/>
      </w:pPr>
      <w:r>
        <w:rPr>
          <w:rFonts w:eastAsia="等线" w:ascii="Arial" w:cs="Arial" w:hAnsi="Arial"/>
          <w:sz w:val="22"/>
        </w:rPr>
        <w:t>b）底格按钮操作</w:t>
      </w:r>
    </w:p>
    <w:p>
      <w:pPr>
        <w:spacing w:before="120" w:after="120" w:line="288" w:lineRule="auto"/>
        <w:ind w:left="0" w:firstLine="0"/>
        <w:jc w:val="left"/>
      </w:pPr>
      <w:r>
        <w:rPr>
          <w:rFonts w:eastAsia="等线" w:ascii="Arial" w:cs="Arial" w:hAnsi="Arial"/>
          <w:sz w:val="22"/>
        </w:rPr>
        <w:t>c）定位按钮操作</w:t>
      </w:r>
    </w:p>
    <w:p>
      <w:pPr>
        <w:spacing w:before="120" w:after="120" w:line="288" w:lineRule="auto"/>
        <w:ind w:left="0" w:firstLine="0"/>
        <w:jc w:val="left"/>
      </w:pPr>
      <w:r>
        <w:rPr>
          <w:rFonts w:eastAsia="等线" w:ascii="Arial" w:cs="Arial" w:hAnsi="Arial"/>
          <w:sz w:val="22"/>
        </w:rPr>
        <w:t>d）标尺按钮操作</w:t>
      </w:r>
    </w:p>
    <w:p>
      <w:pPr>
        <w:spacing w:before="120" w:after="120" w:line="288" w:lineRule="auto"/>
        <w:ind w:left="0" w:firstLine="0"/>
        <w:jc w:val="left"/>
      </w:pPr>
      <w:r>
        <w:rPr>
          <w:rFonts w:eastAsia="等线" w:ascii="Arial" w:cs="Arial" w:hAnsi="Arial"/>
          <w:sz w:val="22"/>
        </w:rPr>
        <w:t>e）增益程度操作</w:t>
      </w:r>
    </w:p>
    <w:p>
      <w:pPr>
        <w:spacing w:before="120" w:after="120" w:line="288" w:lineRule="auto"/>
        <w:ind w:left="0" w:firstLine="0"/>
        <w:jc w:val="left"/>
      </w:pPr>
      <w:r>
        <w:rPr>
          <w:rFonts w:eastAsia="等线" w:ascii="Arial" w:cs="Arial" w:hAnsi="Arial"/>
          <w:sz w:val="22"/>
        </w:rPr>
        <w:t>f）走纸速度操作</w:t>
      </w:r>
    </w:p>
    <w:p>
      <w:pPr>
        <w:pStyle w:val="4"/>
        <w:spacing w:before="260" w:after="120" w:line="288" w:lineRule="auto"/>
        <w:ind w:left="0"/>
        <w:jc w:val="left"/>
        <w:outlineLvl w:val="3"/>
      </w:pPr>
      <w:bookmarkStart w:name="heading_14" w:id="14"/>
      <w:r>
        <w:rPr>
          <w:rFonts w:eastAsia="等线" w:ascii="Arial" w:cs="Arial" w:hAnsi="Arial"/>
          <w:b w:val="true"/>
          <w:sz w:val="28"/>
        </w:rPr>
        <w:t>2.1.1.5  报告按钮操作</w:t>
      </w:r>
      <w:bookmarkEnd w:id="14"/>
    </w:p>
    <w:p>
      <w:pPr>
        <w:spacing w:before="120" w:after="120" w:line="288" w:lineRule="auto"/>
        <w:ind w:left="0" w:firstLine="0"/>
        <w:jc w:val="left"/>
      </w:pPr>
      <w:r>
        <w:rPr>
          <w:rFonts w:eastAsia="等线" w:ascii="Arial" w:cs="Arial" w:hAnsi="Arial"/>
          <w:sz w:val="22"/>
        </w:rPr>
        <w:t>a）报告预览操作</w:t>
      </w:r>
    </w:p>
    <w:p>
      <w:pPr>
        <w:spacing w:before="120" w:after="120" w:line="288" w:lineRule="auto"/>
        <w:ind w:left="0" w:firstLine="0"/>
        <w:jc w:val="left"/>
      </w:pPr>
      <w:r>
        <w:rPr>
          <w:rFonts w:eastAsia="等线" w:ascii="Arial" w:cs="Arial" w:hAnsi="Arial"/>
          <w:sz w:val="22"/>
        </w:rPr>
        <w:t>b）导出报告操作</w:t>
      </w:r>
    </w:p>
    <w:p>
      <w:pPr>
        <w:spacing w:before="120" w:after="120" w:line="288" w:lineRule="auto"/>
        <w:ind w:left="0" w:firstLine="0"/>
        <w:jc w:val="left"/>
      </w:pPr>
      <w:r>
        <w:rPr>
          <w:rFonts w:eastAsia="等线" w:ascii="Arial" w:cs="Arial" w:hAnsi="Arial"/>
          <w:sz w:val="22"/>
        </w:rPr>
        <w:t>c）打印报告操作</w:t>
      </w:r>
    </w:p>
    <w:p>
      <w:pPr>
        <w:pStyle w:val="4"/>
        <w:spacing w:before="260" w:after="120" w:line="288" w:lineRule="auto"/>
        <w:ind w:left="0"/>
        <w:jc w:val="left"/>
        <w:outlineLvl w:val="3"/>
      </w:pPr>
      <w:bookmarkStart w:name="heading_15" w:id="15"/>
      <w:r>
        <w:rPr>
          <w:rFonts w:eastAsia="等线" w:ascii="Arial" w:cs="Arial" w:hAnsi="Arial"/>
          <w:b w:val="true"/>
          <w:sz w:val="28"/>
        </w:rPr>
        <w:t>2.1.1.6  数据输出和特征参数</w:t>
      </w:r>
      <w:bookmarkEnd w:id="15"/>
    </w:p>
    <w:p>
      <w:pPr>
        <w:spacing w:before="120" w:after="120" w:line="288" w:lineRule="auto"/>
        <w:ind w:left="0" w:firstLine="0"/>
        <w:jc w:val="left"/>
      </w:pPr>
      <w:r>
        <w:rPr>
          <w:rFonts w:eastAsia="等线" w:ascii="Arial" w:cs="Arial" w:hAnsi="Arial"/>
          <w:sz w:val="22"/>
        </w:rPr>
        <w:t>a）特征参数的名称和参考范围</w:t>
      </w:r>
    </w:p>
    <w:p>
      <w:pPr>
        <w:spacing w:before="120" w:after="120" w:line="288" w:lineRule="auto"/>
        <w:ind w:left="0" w:firstLine="0"/>
        <w:jc w:val="left"/>
      </w:pPr>
      <w:r>
        <w:rPr>
          <w:rFonts w:eastAsia="等线" w:ascii="Arial" w:cs="Arial" w:hAnsi="Arial"/>
          <w:sz w:val="22"/>
        </w:rPr>
        <w:t>b）异常特征参数表示和说明</w:t>
      </w:r>
    </w:p>
    <w:p>
      <w:pPr>
        <w:pStyle w:val="3"/>
        <w:spacing w:before="300" w:after="120" w:line="288" w:lineRule="auto"/>
        <w:ind w:left="0"/>
        <w:jc w:val="left"/>
        <w:outlineLvl w:val="2"/>
      </w:pPr>
      <w:bookmarkStart w:name="heading_16" w:id="16"/>
      <w:r>
        <w:rPr>
          <w:rFonts w:eastAsia="等线" w:ascii="Arial" w:cs="Arial" w:hAnsi="Arial"/>
          <w:b w:val="true"/>
          <w:sz w:val="30"/>
        </w:rPr>
        <w:t>使用限制</w:t>
      </w:r>
      <w:bookmarkEnd w:id="16"/>
    </w:p>
    <w:p>
      <w:pPr>
        <w:spacing w:before="120" w:after="120" w:line="288" w:lineRule="auto"/>
        <w:ind w:left="0" w:firstLine="420"/>
        <w:jc w:val="left"/>
      </w:pPr>
      <w:r>
        <w:rPr>
          <w:rFonts w:eastAsia="等线" w:ascii="Arial" w:cs="Arial" w:hAnsi="Arial"/>
          <w:sz w:val="22"/>
        </w:rPr>
        <w:t>a）本产品支持格式限制为“.Hecg”。</w:t>
      </w:r>
    </w:p>
    <w:p>
      <w:pPr>
        <w:spacing w:before="120" w:after="120" w:line="288" w:lineRule="auto"/>
        <w:ind w:left="0" w:firstLine="420"/>
        <w:jc w:val="left"/>
      </w:pPr>
      <w:r>
        <w:rPr>
          <w:rFonts w:eastAsia="等线" w:ascii="Arial" w:cs="Arial" w:hAnsi="Arial"/>
          <w:sz w:val="22"/>
        </w:rPr>
        <w:t>b）本产品可读取的心电数据限制为时长为30秒-5分钟的单导心电图数据。</w:t>
      </w:r>
    </w:p>
    <w:p>
      <w:pPr>
        <w:pStyle w:val="3"/>
        <w:spacing w:before="300" w:after="120" w:line="288" w:lineRule="auto"/>
        <w:ind w:left="0"/>
        <w:jc w:val="left"/>
        <w:outlineLvl w:val="2"/>
      </w:pPr>
      <w:bookmarkStart w:name="heading_17" w:id="17"/>
      <w:r>
        <w:rPr>
          <w:rFonts w:eastAsia="等线" w:ascii="Arial" w:cs="Arial" w:hAnsi="Arial"/>
          <w:b w:val="true"/>
          <w:sz w:val="30"/>
        </w:rPr>
        <w:t>输入输出</w:t>
      </w:r>
      <w:bookmarkEnd w:id="17"/>
    </w:p>
    <w:p>
      <w:pPr>
        <w:spacing w:before="120" w:after="120" w:line="288" w:lineRule="auto"/>
        <w:ind w:left="0" w:firstLine="0"/>
        <w:jc w:val="left"/>
      </w:pPr>
      <w:r>
        <w:rPr>
          <w:rFonts w:eastAsia="等线" w:ascii="Arial" w:cs="Arial" w:hAnsi="Arial"/>
          <w:sz w:val="22"/>
        </w:rPr>
        <w:t>输入：</w:t>
      </w:r>
    </w:p>
    <w:p>
      <w:pPr>
        <w:spacing w:before="120" w:after="120" w:line="288" w:lineRule="auto"/>
        <w:ind w:left="0" w:firstLine="0"/>
        <w:jc w:val="left"/>
      </w:pPr>
      <w:r>
        <w:rPr>
          <w:rFonts w:eastAsia="等线" w:ascii="Arial" w:cs="Arial" w:hAnsi="Arial"/>
          <w:sz w:val="22"/>
        </w:rPr>
        <w:t>输出：</w:t>
      </w:r>
    </w:p>
    <w:p>
      <w:pPr>
        <w:pStyle w:val="3"/>
        <w:spacing w:before="300" w:after="120" w:line="288" w:lineRule="auto"/>
        <w:ind w:left="0"/>
        <w:jc w:val="left"/>
        <w:outlineLvl w:val="2"/>
      </w:pPr>
      <w:bookmarkStart w:name="heading_18" w:id="18"/>
      <w:r>
        <w:rPr>
          <w:rFonts w:eastAsia="等线" w:ascii="Arial" w:cs="Arial" w:hAnsi="Arial"/>
          <w:b w:val="true"/>
          <w:sz w:val="30"/>
        </w:rPr>
        <w:t>数据接口</w:t>
      </w:r>
      <w:bookmarkEnd w:id="18"/>
    </w:p>
    <w:p>
      <w:pPr>
        <w:spacing w:before="120" w:after="120" w:line="288" w:lineRule="auto"/>
        <w:ind w:left="0" w:firstLine="0"/>
        <w:jc w:val="left"/>
      </w:pPr>
      <w:r>
        <w:rPr>
          <w:rFonts w:eastAsia="等线" w:ascii="Arial" w:cs="Arial" w:hAnsi="Arial"/>
          <w:sz w:val="22"/>
        </w:rPr>
        <w:t>本产品打开“.Hecg”格式的单导心电图数据；</w:t>
      </w:r>
    </w:p>
    <w:p>
      <w:pPr>
        <w:spacing w:before="120" w:after="120" w:line="288" w:lineRule="auto"/>
        <w:ind w:left="0" w:firstLine="0"/>
        <w:jc w:val="left"/>
      </w:pPr>
      <w:r>
        <w:rPr>
          <w:rFonts w:eastAsia="等线" w:ascii="Arial" w:cs="Arial" w:hAnsi="Arial"/>
          <w:sz w:val="22"/>
        </w:rPr>
        <w:t>本产品传输协议为Https。</w:t>
      </w:r>
    </w:p>
    <w:p>
      <w:pPr>
        <w:pStyle w:val="3"/>
        <w:spacing w:before="300" w:after="120" w:line="288" w:lineRule="auto"/>
        <w:ind w:left="0"/>
        <w:jc w:val="left"/>
        <w:outlineLvl w:val="2"/>
      </w:pPr>
      <w:bookmarkStart w:name="heading_19" w:id="19"/>
      <w:r>
        <w:rPr>
          <w:rFonts w:eastAsia="等线" w:ascii="Arial" w:cs="Arial" w:hAnsi="Arial"/>
          <w:b w:val="true"/>
          <w:sz w:val="30"/>
        </w:rPr>
        <w:t>必备特定的软硬件</w:t>
      </w:r>
      <w:bookmarkEnd w:id="19"/>
    </w:p>
    <w:p>
      <w:pPr>
        <w:spacing w:before="120" w:after="120" w:line="288" w:lineRule="auto"/>
        <w:ind w:left="0" w:firstLine="0"/>
        <w:jc w:val="left"/>
      </w:pPr>
      <w:r>
        <w:rPr>
          <w:rFonts w:eastAsia="等线" w:ascii="Arial" w:cs="Arial" w:hAnsi="Arial"/>
          <w:sz w:val="22"/>
        </w:rPr>
        <w:t>软件运行兼容的浏览器：Chrome浏览器62版本及以上。</w:t>
      </w:r>
      <w:r>
        <w:rPr>
          <w:rFonts w:eastAsia="等线" w:ascii="Arial" w:cs="Arial" w:hAnsi="Arial"/>
          <w:color w:val="d83931"/>
          <w:sz w:val="22"/>
        </w:rPr>
        <w:t xml:space="preserve"> </w:t>
      </w:r>
    </w:p>
    <w:p>
      <w:pPr>
        <w:pStyle w:val="3"/>
        <w:spacing w:before="300" w:after="120" w:line="288" w:lineRule="auto"/>
        <w:ind w:left="0"/>
        <w:jc w:val="left"/>
        <w:outlineLvl w:val="2"/>
      </w:pPr>
      <w:bookmarkStart w:name="heading_20" w:id="20"/>
      <w:r>
        <w:rPr>
          <w:rFonts w:eastAsia="等线" w:ascii="Arial" w:cs="Arial" w:hAnsi="Arial"/>
          <w:b w:val="true"/>
          <w:sz w:val="30"/>
        </w:rPr>
        <w:t>运行环境</w:t>
      </w:r>
      <w:bookmarkEnd w:id="20"/>
    </w:p>
    <w:p>
      <w:pPr>
        <w:spacing w:before="120" w:after="120" w:line="288" w:lineRule="auto"/>
        <w:ind w:left="0" w:firstLine="0"/>
        <w:jc w:val="left"/>
      </w:pPr>
      <w:r>
        <w:rPr>
          <w:rFonts w:eastAsia="等线" w:ascii="Arial" w:cs="Arial" w:hAnsi="Arial"/>
          <w:sz w:val="22"/>
        </w:rPr>
        <w:t>本产品为浏览器/服务器（B/S）架构，服务器部署在云端，上行网速50kb/s以上、下行网速100kb/s以上的网络环境。服务器配置如表1所示，客户端配置如表2所示。</w:t>
      </w:r>
    </w:p>
    <w:p>
      <w:pPr>
        <w:spacing w:before="120" w:after="120" w:line="288" w:lineRule="auto"/>
        <w:ind w:left="0" w:firstLine="0"/>
        <w:jc w:val="center"/>
      </w:pPr>
      <w:r>
        <w:rPr>
          <w:rFonts w:eastAsia="等线" w:ascii="Arial" w:cs="Arial" w:hAnsi="Arial"/>
          <w:sz w:val="22"/>
        </w:rPr>
        <w:t>表1 服务器配置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硬件</w:t>
            </w: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CPU</w:t>
            </w: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Intel(R) Xeon(R) Gold 6161 CPU @ 2.20GHz</w:t>
            </w:r>
          </w:p>
        </w:tc>
      </w:tr>
      <w:tr>
        <w:tc>
          <w:tcPr>
            <w:tcW w:w="2760"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内存</w:t>
            </w: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16GB</w:t>
            </w:r>
          </w:p>
        </w:tc>
      </w:tr>
      <w:tr>
        <w:tc>
          <w:tcPr>
            <w:tcW w:w="2760"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硬盘</w:t>
            </w: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500GB</w:t>
            </w:r>
          </w:p>
        </w:tc>
      </w:tr>
      <w:tr>
        <w:tc>
          <w:tcPr>
            <w:tcW w:w="276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软件</w:t>
            </w: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操作系统</w:t>
            </w: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CentOS Linux 64bit</w:t>
            </w:r>
          </w:p>
        </w:tc>
      </w:tr>
      <w:tr>
        <w:tc>
          <w:tcPr>
            <w:tcW w:w="2760"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数据库</w:t>
            </w: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MySQL 5.7.22-log及其兼容版本</w:t>
            </w:r>
          </w:p>
        </w:tc>
      </w:tr>
      <w:tr>
        <w:tc>
          <w:tcPr>
            <w:tcW w:w="2760" w:type="dxa"/>
            <w:vMerge w:val="continue"/>
            <w:tcMar>
              <w:top w:type="dxa" w:w="60"/>
              <w:left w:type="dxa" w:w="120"/>
              <w:bottom w:type="dxa" w:w="30"/>
              <w:right w:type="dxa" w:w="120"/>
            </w:tcMar>
          </w:tcPr>
          <w:p>
            <w:pPr>
              <w:spacing w:before="120" w:after="120" w:line="288" w:lineRule="auto"/>
              <w:ind w:left="0"/>
              <w:jc w:val="left"/>
            </w:pPr>
          </w:p>
        </w:tc>
        <w:tc>
          <w:tcPr>
            <w:tcW w:w="2760" w:type="dxa"/>
            <w:v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支持软件</w:t>
            </w: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Java JDK1.8及其兼容版本</w:t>
            </w:r>
          </w:p>
        </w:tc>
      </w:tr>
      <w:tr>
        <w:tc>
          <w:tcPr>
            <w:tcW w:w="2760" w:type="dxa"/>
            <w:vMerge w:val="continue"/>
            <w:tcMar>
              <w:top w:type="dxa" w:w="60"/>
              <w:left w:type="dxa" w:w="120"/>
              <w:bottom w:type="dxa" w:w="30"/>
              <w:right w:type="dxa" w:w="120"/>
            </w:tcMar>
          </w:tcPr>
          <w:p>
            <w:pPr>
              <w:spacing w:before="120" w:after="120" w:line="288" w:lineRule="auto"/>
              <w:ind w:left="0"/>
              <w:jc w:val="left"/>
            </w:pPr>
          </w:p>
        </w:tc>
        <w:tc>
          <w:tcPr>
            <w:tcW w:w="2760"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redis 3.0.7.9及其兼容版本</w:t>
            </w:r>
          </w:p>
        </w:tc>
      </w:tr>
      <w:tr>
        <w:tc>
          <w:tcPr>
            <w:tcW w:w="2760" w:type="dxa"/>
            <w:vMerge w:val="continue"/>
            <w:tcMar>
              <w:top w:type="dxa" w:w="60"/>
              <w:left w:type="dxa" w:w="120"/>
              <w:bottom w:type="dxa" w:w="30"/>
              <w:right w:type="dxa" w:w="120"/>
            </w:tcMar>
          </w:tcPr>
          <w:p>
            <w:pPr>
              <w:spacing w:before="120" w:after="120" w:line="288" w:lineRule="auto"/>
              <w:ind w:left="0"/>
              <w:jc w:val="left"/>
            </w:pPr>
          </w:p>
        </w:tc>
        <w:tc>
          <w:tcPr>
            <w:tcW w:w="2760"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Golang 1.14.2及其兼容版本</w:t>
            </w:r>
          </w:p>
        </w:tc>
      </w:tr>
      <w:tr>
        <w:tc>
          <w:tcPr>
            <w:tcW w:w="2760" w:type="dxa"/>
            <w:vMerge w:val="continue"/>
            <w:tcMar>
              <w:top w:type="dxa" w:w="60"/>
              <w:left w:type="dxa" w:w="120"/>
              <w:bottom w:type="dxa" w:w="30"/>
              <w:right w:type="dxa" w:w="120"/>
            </w:tcMar>
          </w:tcPr>
          <w:p>
            <w:pPr>
              <w:spacing w:before="120" w:after="120" w:line="288" w:lineRule="auto"/>
              <w:ind w:left="0"/>
              <w:jc w:val="left"/>
            </w:pPr>
          </w:p>
        </w:tc>
        <w:tc>
          <w:tcPr>
            <w:tcW w:w="2760"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C++ msvc14.0及其兼容版本</w:t>
            </w:r>
          </w:p>
        </w:tc>
      </w:tr>
    </w:tbl>
    <w:p>
      <w:pPr>
        <w:spacing w:before="120" w:after="120" w:line="288" w:lineRule="auto"/>
        <w:ind w:left="0" w:firstLine="0"/>
        <w:jc w:val="center"/>
      </w:pPr>
    </w:p>
    <w:p>
      <w:pPr>
        <w:spacing w:before="120" w:after="120" w:line="288" w:lineRule="auto"/>
        <w:ind w:left="0" w:firstLine="0"/>
        <w:jc w:val="center"/>
      </w:pPr>
      <w:r>
        <w:rPr>
          <w:rFonts w:eastAsia="等线" w:ascii="Arial" w:cs="Arial" w:hAnsi="Arial"/>
          <w:sz w:val="22"/>
        </w:rPr>
        <w:t>表2 客户端配置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硬件</w:t>
            </w: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显示器分辨率</w:t>
            </w: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1440×900分辨率及以上</w:t>
            </w:r>
          </w:p>
        </w:tc>
      </w:tr>
      <w:tr>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软件</w:t>
            </w: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浏览器</w:t>
            </w: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Chrome浏览器62版本及以上</w:t>
            </w:r>
          </w:p>
        </w:tc>
      </w:tr>
    </w:tbl>
    <w:p>
      <w:pPr>
        <w:pStyle w:val="3"/>
        <w:spacing w:before="300" w:after="120" w:line="288" w:lineRule="auto"/>
        <w:ind w:left="0"/>
        <w:jc w:val="left"/>
        <w:outlineLvl w:val="2"/>
      </w:pPr>
      <w:bookmarkStart w:name="heading_21" w:id="21"/>
      <w:r>
        <w:rPr>
          <w:rFonts w:eastAsia="等线" w:ascii="Arial" w:cs="Arial" w:hAnsi="Arial"/>
          <w:b w:val="true"/>
          <w:sz w:val="30"/>
        </w:rPr>
        <w:t>性能效率</w:t>
      </w:r>
      <w:bookmarkEnd w:id="21"/>
    </w:p>
    <w:p>
      <w:pPr>
        <w:spacing w:before="120" w:after="120" w:line="288" w:lineRule="auto"/>
        <w:ind w:left="0" w:firstLine="0"/>
        <w:jc w:val="left"/>
      </w:pPr>
      <w:r>
        <w:rPr>
          <w:rFonts w:eastAsia="等线" w:ascii="Arial" w:cs="Arial" w:hAnsi="Arial"/>
          <w:sz w:val="22"/>
        </w:rPr>
        <w:t>软件打开时长为5分钟、格式为“Hecg”的数据，分析单个单导心电图数据的时间≤10s。</w:t>
      </w:r>
    </w:p>
    <w:p>
      <w:pPr>
        <w:pStyle w:val="3"/>
        <w:spacing w:before="300" w:after="120" w:line="288" w:lineRule="auto"/>
        <w:ind w:left="0"/>
        <w:jc w:val="left"/>
        <w:outlineLvl w:val="2"/>
      </w:pPr>
      <w:bookmarkStart w:name="heading_22" w:id="22"/>
      <w:r>
        <w:rPr>
          <w:rFonts w:eastAsia="等线" w:ascii="Arial" w:cs="Arial" w:hAnsi="Arial"/>
          <w:b w:val="true"/>
          <w:sz w:val="30"/>
        </w:rPr>
        <w:t>最大并发数</w:t>
      </w:r>
      <w:bookmarkEnd w:id="22"/>
    </w:p>
    <w:p>
      <w:pPr>
        <w:spacing w:before="120" w:after="120" w:line="288" w:lineRule="auto"/>
        <w:ind w:left="0" w:firstLine="0"/>
        <w:jc w:val="left"/>
      </w:pPr>
      <w:r>
        <w:rPr>
          <w:rFonts w:eastAsia="等线" w:ascii="Arial" w:cs="Arial" w:hAnsi="Arial"/>
          <w:sz w:val="22"/>
        </w:rPr>
        <w:t>本产品在2.1.14的配置下最大并发数为15。</w:t>
      </w:r>
    </w:p>
    <w:p>
      <w:pPr>
        <w:pStyle w:val="3"/>
        <w:spacing w:before="300" w:after="120" w:line="288" w:lineRule="auto"/>
        <w:ind w:left="0"/>
        <w:jc w:val="left"/>
        <w:outlineLvl w:val="2"/>
      </w:pPr>
      <w:bookmarkStart w:name="heading_23" w:id="23"/>
      <w:r>
        <w:rPr>
          <w:rFonts w:eastAsia="等线" w:ascii="Arial" w:cs="Arial" w:hAnsi="Arial"/>
          <w:b w:val="true"/>
          <w:sz w:val="30"/>
        </w:rPr>
        <w:t>用户界面</w:t>
      </w:r>
      <w:bookmarkEnd w:id="23"/>
    </w:p>
    <w:p>
      <w:pPr>
        <w:spacing w:before="120" w:after="120" w:line="288" w:lineRule="auto"/>
        <w:ind w:left="0" w:firstLine="0"/>
        <w:jc w:val="left"/>
      </w:pPr>
      <w:r>
        <w:rPr>
          <w:rFonts w:eastAsia="等线" w:ascii="Arial" w:cs="Arial" w:hAnsi="Arial"/>
          <w:sz w:val="22"/>
        </w:rPr>
        <w:t>基于浏览器的可视化图形界面以及基于手机端HTML5的可视化图形页面。</w:t>
      </w:r>
    </w:p>
    <w:p>
      <w:pPr>
        <w:spacing w:before="120" w:after="120" w:line="288" w:lineRule="auto"/>
        <w:ind w:left="0" w:firstLine="0"/>
        <w:jc w:val="left"/>
      </w:pPr>
      <w:r>
        <w:rPr>
          <w:rFonts w:eastAsia="等线" w:ascii="Arial" w:cs="Arial" w:hAnsi="Arial"/>
          <w:sz w:val="22"/>
        </w:rPr>
        <w:t>用户界面类型：</w:t>
      </w:r>
    </w:p>
    <w:p>
      <w:pPr>
        <w:spacing w:before="120" w:after="120" w:line="288" w:lineRule="auto"/>
        <w:ind w:left="0" w:firstLine="0"/>
        <w:jc w:val="left"/>
      </w:pPr>
      <w:r>
        <w:rPr>
          <w:rFonts w:eastAsia="等线" w:ascii="Arial" w:cs="Arial" w:hAnsi="Arial"/>
          <w:sz w:val="22"/>
        </w:rPr>
        <w:t>用户输入类型：</w:t>
      </w:r>
    </w:p>
    <w:p>
      <w:pPr>
        <w:pStyle w:val="3"/>
        <w:spacing w:before="300" w:after="120" w:line="288" w:lineRule="auto"/>
        <w:ind w:left="0"/>
        <w:jc w:val="left"/>
        <w:outlineLvl w:val="2"/>
      </w:pPr>
      <w:bookmarkStart w:name="heading_24" w:id="24"/>
      <w:r>
        <w:rPr>
          <w:rFonts w:eastAsia="等线" w:ascii="Arial" w:cs="Arial" w:hAnsi="Arial"/>
          <w:b w:val="true"/>
          <w:sz w:val="30"/>
        </w:rPr>
        <w:t>消息</w:t>
      </w:r>
      <w:bookmarkEnd w:id="24"/>
    </w:p>
    <w:p>
      <w:pPr>
        <w:spacing w:before="120" w:after="120" w:line="288" w:lineRule="auto"/>
        <w:ind w:left="0" w:firstLine="0"/>
        <w:jc w:val="left"/>
      </w:pPr>
      <w:r>
        <w:rPr>
          <w:rFonts w:eastAsia="等线" w:ascii="Arial" w:cs="Arial" w:hAnsi="Arial"/>
          <w:sz w:val="22"/>
        </w:rPr>
        <w:t>本产品的消息类型包括了：确认，信息，出错。</w:t>
      </w:r>
    </w:p>
    <w:p>
      <w:pPr>
        <w:spacing w:before="120" w:after="120" w:line="288" w:lineRule="auto"/>
        <w:ind w:left="0" w:firstLine="0"/>
        <w:jc w:val="left"/>
      </w:pPr>
      <w:r>
        <w:rPr>
          <w:rFonts w:eastAsia="等线" w:ascii="Arial" w:cs="Arial" w:hAnsi="Arial"/>
          <w:sz w:val="22"/>
        </w:rPr>
        <w:t>消息类型：</w:t>
      </w:r>
    </w:p>
    <w:p>
      <w:pPr>
        <w:spacing w:before="120" w:after="120" w:line="288" w:lineRule="auto"/>
        <w:ind w:left="0" w:firstLine="0"/>
        <w:jc w:val="left"/>
      </w:pPr>
      <w:r>
        <w:rPr>
          <w:rFonts w:eastAsia="等线" w:ascii="Arial" w:cs="Arial" w:hAnsi="Arial"/>
          <w:sz w:val="22"/>
        </w:rPr>
        <w:t>消息形式：</w:t>
      </w:r>
    </w:p>
    <w:p>
      <w:pPr>
        <w:pStyle w:val="3"/>
        <w:spacing w:before="300" w:after="120" w:line="288" w:lineRule="auto"/>
        <w:ind w:left="0"/>
        <w:jc w:val="left"/>
        <w:outlineLvl w:val="2"/>
      </w:pPr>
      <w:bookmarkStart w:name="heading_25" w:id="25"/>
      <w:r>
        <w:rPr>
          <w:rFonts w:eastAsia="等线" w:ascii="Arial" w:cs="Arial" w:hAnsi="Arial"/>
          <w:b w:val="true"/>
          <w:sz w:val="30"/>
        </w:rPr>
        <w:t>用户差错防御</w:t>
      </w:r>
      <w:bookmarkEnd w:id="25"/>
    </w:p>
    <w:p>
      <w:pPr>
        <w:spacing w:before="120" w:after="120" w:line="288" w:lineRule="auto"/>
        <w:ind w:left="0" w:firstLine="0"/>
        <w:jc w:val="left"/>
      </w:pPr>
    </w:p>
    <w:p>
      <w:pPr>
        <w:pStyle w:val="3"/>
        <w:spacing w:before="300" w:after="120" w:line="288" w:lineRule="auto"/>
        <w:ind w:left="0"/>
        <w:jc w:val="left"/>
        <w:outlineLvl w:val="2"/>
      </w:pPr>
      <w:bookmarkStart w:name="heading_26" w:id="26"/>
      <w:r>
        <w:rPr>
          <w:rFonts w:eastAsia="等线" w:ascii="Arial" w:cs="Arial" w:hAnsi="Arial"/>
          <w:b w:val="true"/>
          <w:sz w:val="30"/>
        </w:rPr>
        <w:t>访问控制</w:t>
      </w:r>
      <w:bookmarkEnd w:id="26"/>
    </w:p>
    <w:p>
      <w:pPr>
        <w:spacing w:before="120" w:after="120" w:line="288" w:lineRule="auto"/>
        <w:ind w:left="0" w:firstLine="0"/>
        <w:jc w:val="left"/>
      </w:pPr>
      <w:r>
        <w:rPr>
          <w:rFonts w:eastAsia="等线" w:ascii="Arial" w:cs="Arial" w:hAnsi="Arial"/>
          <w:sz w:val="22"/>
        </w:rPr>
        <w:t>通过账号、密码和手机短信验证码来控制用户访问权限。</w:t>
      </w:r>
    </w:p>
    <w:p>
      <w:pPr>
        <w:spacing w:before="120" w:after="120" w:line="288" w:lineRule="auto"/>
        <w:ind w:left="0" w:firstLine="0"/>
        <w:jc w:val="left"/>
      </w:pPr>
      <w:r>
        <w:rPr>
          <w:rFonts w:eastAsia="等线" w:ascii="Arial" w:cs="Arial" w:hAnsi="Arial"/>
          <w:sz w:val="22"/>
        </w:rPr>
        <w:t>本产品用户角色分为运维人员、最终用户。</w:t>
      </w:r>
    </w:p>
    <w:p>
      <w:pPr>
        <w:spacing w:before="120" w:after="120" w:line="288" w:lineRule="auto"/>
        <w:ind w:left="0" w:firstLine="0"/>
        <w:jc w:val="left"/>
      </w:pPr>
      <w:r>
        <w:rPr>
          <w:rFonts w:eastAsia="等线" w:ascii="Arial" w:cs="Arial" w:hAnsi="Arial"/>
          <w:sz w:val="22"/>
        </w:rPr>
        <w:t>运维人员：可访问云端部署的所有程序。</w:t>
      </w:r>
    </w:p>
    <w:p>
      <w:pPr>
        <w:spacing w:before="120" w:after="120" w:line="288" w:lineRule="auto"/>
        <w:ind w:left="0" w:firstLine="0"/>
        <w:jc w:val="left"/>
      </w:pPr>
      <w:r>
        <w:rPr>
          <w:rFonts w:eastAsia="等线" w:ascii="Arial" w:cs="Arial" w:hAnsi="Arial"/>
          <w:sz w:val="22"/>
        </w:rPr>
        <w:t>最终用户：可访问所有临床功能。</w:t>
      </w:r>
    </w:p>
    <w:p>
      <w:pPr>
        <w:pStyle w:val="3"/>
        <w:spacing w:before="300" w:after="120" w:line="288" w:lineRule="auto"/>
        <w:ind w:left="0"/>
        <w:jc w:val="left"/>
        <w:outlineLvl w:val="2"/>
      </w:pPr>
      <w:bookmarkStart w:name="heading_27" w:id="27"/>
      <w:r>
        <w:rPr>
          <w:rFonts w:eastAsia="等线" w:ascii="Arial" w:cs="Arial" w:hAnsi="Arial"/>
          <w:b w:val="true"/>
          <w:sz w:val="30"/>
        </w:rPr>
        <w:t>处理对象</w:t>
      </w:r>
      <w:bookmarkEnd w:id="27"/>
    </w:p>
    <w:p>
      <w:pPr>
        <w:spacing w:before="120" w:after="120" w:line="288" w:lineRule="auto"/>
        <w:ind w:left="0" w:firstLine="0"/>
        <w:jc w:val="left"/>
      </w:pPr>
      <w:r>
        <w:rPr>
          <w:rFonts w:eastAsia="等线" w:ascii="Arial" w:cs="Arial" w:hAnsi="Arial"/>
          <w:sz w:val="22"/>
        </w:rPr>
        <w:t xml:space="preserve">本产品的处理对象为单导心电图数据。 </w:t>
      </w:r>
    </w:p>
    <w:p>
      <w:pPr>
        <w:spacing w:before="120" w:after="120" w:line="288" w:lineRule="auto"/>
        <w:ind w:left="0" w:firstLine="0"/>
        <w:jc w:val="left"/>
      </w:pPr>
      <w:r>
        <w:rPr>
          <w:rFonts w:eastAsia="等线" w:ascii="Arial" w:cs="Arial" w:hAnsi="Arial"/>
          <w:sz w:val="22"/>
        </w:rPr>
        <w:t>心电图数据的采集设备为获得医疗器械注册证的心电记录仪或心电采集设备。</w:t>
      </w:r>
    </w:p>
    <w:p>
      <w:pPr>
        <w:pStyle w:val="3"/>
        <w:spacing w:before="300" w:after="120" w:line="288" w:lineRule="auto"/>
        <w:ind w:left="0"/>
        <w:jc w:val="left"/>
        <w:outlineLvl w:val="2"/>
      </w:pPr>
      <w:bookmarkStart w:name="heading_28" w:id="28"/>
      <w:r>
        <w:rPr>
          <w:rFonts w:eastAsia="等线" w:ascii="Arial" w:cs="Arial" w:hAnsi="Arial"/>
          <w:b w:val="true"/>
          <w:sz w:val="30"/>
        </w:rPr>
        <w:t>版权保护</w:t>
      </w:r>
      <w:bookmarkEnd w:id="28"/>
    </w:p>
    <w:p>
      <w:pPr>
        <w:spacing w:before="120" w:after="120" w:line="288" w:lineRule="auto"/>
        <w:ind w:left="0" w:firstLine="0"/>
        <w:jc w:val="left"/>
      </w:pPr>
      <w:r>
        <w:rPr>
          <w:rFonts w:eastAsia="等线" w:ascii="Arial" w:cs="Arial" w:hAnsi="Arial"/>
          <w:sz w:val="22"/>
        </w:rPr>
        <w:t xml:space="preserve">不适用。 </w:t>
      </w:r>
    </w:p>
    <w:p>
      <w:pPr>
        <w:pStyle w:val="3"/>
        <w:spacing w:before="300" w:after="120" w:line="288" w:lineRule="auto"/>
        <w:ind w:left="0"/>
        <w:jc w:val="left"/>
        <w:outlineLvl w:val="2"/>
      </w:pPr>
      <w:bookmarkStart w:name="heading_29" w:id="29"/>
      <w:r>
        <w:rPr>
          <w:rFonts w:eastAsia="等线" w:ascii="Arial" w:cs="Arial" w:hAnsi="Arial"/>
          <w:b w:val="true"/>
          <w:sz w:val="30"/>
        </w:rPr>
        <w:t>可靠性</w:t>
      </w:r>
      <w:bookmarkEnd w:id="29"/>
    </w:p>
    <w:p>
      <w:pPr>
        <w:spacing w:before="120" w:after="120" w:line="288" w:lineRule="auto"/>
        <w:ind w:left="0" w:firstLine="0"/>
        <w:jc w:val="left"/>
      </w:pPr>
      <w:r>
        <w:rPr>
          <w:rFonts w:eastAsia="等线" w:ascii="Arial" w:cs="Arial" w:hAnsi="Arial"/>
          <w:sz w:val="22"/>
        </w:rPr>
        <w:t>数据恢复：每次分析操作的数据会保存在云平台和算法服务端，当云平台和算法服务端出现意外关闭情况时，再次打开软件，弹窗提示是否恢复数据，点击恢复即可恢复已修改的数据。</w:t>
      </w:r>
    </w:p>
    <w:p>
      <w:pPr>
        <w:pStyle w:val="3"/>
        <w:spacing w:before="300" w:after="120" w:line="288" w:lineRule="auto"/>
        <w:ind w:left="0"/>
        <w:jc w:val="left"/>
        <w:outlineLvl w:val="2"/>
      </w:pPr>
      <w:bookmarkStart w:name="heading_30" w:id="30"/>
      <w:r>
        <w:rPr>
          <w:rFonts w:eastAsia="等线" w:ascii="Arial" w:cs="Arial" w:hAnsi="Arial"/>
          <w:b w:val="true"/>
          <w:sz w:val="30"/>
        </w:rPr>
        <w:t>维护性</w:t>
      </w:r>
      <w:bookmarkEnd w:id="30"/>
    </w:p>
    <w:p>
      <w:pPr>
        <w:spacing w:before="120" w:after="120" w:line="288" w:lineRule="auto"/>
        <w:ind w:left="0" w:firstLine="0"/>
        <w:jc w:val="left"/>
      </w:pPr>
      <w:r>
        <w:rPr>
          <w:rFonts w:eastAsia="等线" w:ascii="Arial" w:cs="Arial" w:hAnsi="Arial"/>
          <w:sz w:val="22"/>
        </w:rPr>
        <w:t xml:space="preserve"> 报错维护：当软件故障、系统异常等引发软件错误时，软件将该错误信息记录在后台系统日志中，用于分析、定位该异常。</w:t>
      </w:r>
    </w:p>
    <w:p>
      <w:pPr>
        <w:spacing w:before="120" w:after="120" w:line="288" w:lineRule="auto"/>
        <w:ind w:left="0" w:firstLine="0"/>
        <w:jc w:val="center"/>
      </w:pPr>
    </w:p>
    <w:p>
      <w:pPr>
        <w:pStyle w:val="3"/>
        <w:spacing w:before="300" w:after="120" w:line="288" w:lineRule="auto"/>
        <w:ind w:left="0"/>
        <w:jc w:val="left"/>
        <w:outlineLvl w:val="2"/>
      </w:pPr>
      <w:bookmarkStart w:name="heading_31" w:id="31"/>
      <w:r>
        <w:rPr>
          <w:rFonts w:eastAsia="等线" w:ascii="Arial" w:cs="Arial" w:hAnsi="Arial"/>
          <w:b w:val="true"/>
          <w:sz w:val="30"/>
        </w:rPr>
        <w:t>质量要求</w:t>
      </w:r>
      <w:bookmarkEnd w:id="31"/>
    </w:p>
    <w:p>
      <w:pPr>
        <w:spacing w:before="120" w:after="120" w:line="288" w:lineRule="auto"/>
        <w:ind w:left="0" w:firstLine="0"/>
        <w:jc w:val="left"/>
      </w:pPr>
      <w:r>
        <w:rPr>
          <w:rFonts w:eastAsia="等线" w:ascii="Arial" w:cs="Arial" w:hAnsi="Arial"/>
          <w:sz w:val="22"/>
        </w:rPr>
        <w:t>应符合GB/T 25000.51-2016第5章的要求</w:t>
      </w:r>
    </w:p>
    <w:p>
      <w:pPr>
        <w:pStyle w:val="2"/>
        <w:spacing w:before="320" w:after="120" w:line="288" w:lineRule="auto"/>
        <w:ind w:left="0"/>
        <w:jc w:val="left"/>
        <w:outlineLvl w:val="1"/>
      </w:pPr>
      <w:bookmarkStart w:name="heading_32" w:id="32"/>
      <w:r>
        <w:rPr>
          <w:rFonts w:eastAsia="等线" w:ascii="Arial" w:cs="Arial" w:hAnsi="Arial"/>
          <w:b w:val="true"/>
          <w:sz w:val="32"/>
        </w:rPr>
        <w:t>检验方法</w:t>
      </w:r>
      <w:bookmarkEnd w:id="32"/>
    </w:p>
    <w:p>
      <w:pPr>
        <w:pStyle w:val="3"/>
        <w:spacing w:before="300" w:after="120" w:line="288" w:lineRule="auto"/>
        <w:ind w:left="0"/>
        <w:jc w:val="left"/>
        <w:outlineLvl w:val="2"/>
      </w:pPr>
      <w:bookmarkStart w:name="heading_33" w:id="33"/>
      <w:r>
        <w:rPr>
          <w:rFonts w:eastAsia="等线" w:ascii="Arial" w:cs="Arial" w:hAnsi="Arial"/>
          <w:b w:val="true"/>
          <w:sz w:val="30"/>
        </w:rPr>
        <w:t>通用要求</w:t>
      </w:r>
      <w:bookmarkEnd w:id="33"/>
    </w:p>
    <w:p>
      <w:pPr>
        <w:pStyle w:val="3"/>
        <w:spacing w:before="300" w:after="120" w:line="288" w:lineRule="auto"/>
        <w:ind w:left="0"/>
        <w:jc w:val="left"/>
        <w:outlineLvl w:val="2"/>
      </w:pPr>
      <w:bookmarkStart w:name="heading_34" w:id="34"/>
      <w:r>
        <w:rPr>
          <w:rFonts w:eastAsia="等线" w:ascii="Arial" w:cs="Arial" w:hAnsi="Arial"/>
          <w:b w:val="true"/>
          <w:sz w:val="30"/>
        </w:rPr>
        <w:t>处理对象</w:t>
      </w:r>
      <w:bookmarkEnd w:id="34"/>
    </w:p>
    <w:p>
      <w:pPr>
        <w:spacing w:before="120" w:after="120" w:line="288" w:lineRule="auto"/>
        <w:ind w:left="0" w:firstLine="0"/>
        <w:jc w:val="left"/>
      </w:pPr>
      <w:r>
        <w:rPr>
          <w:rFonts w:eastAsia="等线" w:ascii="Arial" w:cs="Arial" w:hAnsi="Arial"/>
          <w:sz w:val="22"/>
        </w:rPr>
        <w:t>通过实际操作，处理对象应符合2.1.1的要求。</w:t>
      </w:r>
    </w:p>
    <w:p>
      <w:pPr>
        <w:pStyle w:val="3"/>
        <w:spacing w:before="300" w:after="120" w:line="288" w:lineRule="auto"/>
        <w:ind w:left="0"/>
        <w:jc w:val="left"/>
        <w:outlineLvl w:val="2"/>
      </w:pPr>
      <w:bookmarkStart w:name="heading_35" w:id="35"/>
      <w:r>
        <w:rPr>
          <w:rFonts w:eastAsia="等线" w:ascii="Arial" w:cs="Arial" w:hAnsi="Arial"/>
          <w:b w:val="true"/>
          <w:sz w:val="30"/>
        </w:rPr>
        <w:t>最大并发数</w:t>
      </w:r>
      <w:bookmarkEnd w:id="35"/>
    </w:p>
    <w:p>
      <w:pPr>
        <w:spacing w:before="120" w:after="120" w:line="288" w:lineRule="auto"/>
        <w:ind w:left="0" w:firstLine="0"/>
        <w:jc w:val="left"/>
      </w:pPr>
      <w:r>
        <w:rPr>
          <w:rFonts w:eastAsia="等线" w:ascii="Arial" w:cs="Arial" w:hAnsi="Arial"/>
          <w:sz w:val="22"/>
        </w:rPr>
        <w:t>使用压力测试软件，同时处理多份有效心电图数据，查看分析时间≤10秒的数据量，结果应符合2.1.2的要求。</w:t>
      </w:r>
    </w:p>
    <w:p>
      <w:pPr>
        <w:pStyle w:val="3"/>
        <w:spacing w:before="300" w:after="120" w:line="288" w:lineRule="auto"/>
        <w:ind w:left="0"/>
        <w:jc w:val="left"/>
        <w:outlineLvl w:val="2"/>
      </w:pPr>
      <w:bookmarkStart w:name="heading_36" w:id="36"/>
      <w:r>
        <w:rPr>
          <w:rFonts w:eastAsia="等线" w:ascii="Arial" w:cs="Arial" w:hAnsi="Arial"/>
          <w:b w:val="true"/>
          <w:sz w:val="30"/>
        </w:rPr>
        <w:t>数据接口</w:t>
      </w:r>
      <w:bookmarkEnd w:id="36"/>
    </w:p>
    <w:p>
      <w:pPr>
        <w:spacing w:before="120" w:after="120" w:line="288" w:lineRule="auto"/>
        <w:ind w:left="0" w:firstLine="0"/>
        <w:jc w:val="left"/>
      </w:pPr>
      <w:r>
        <w:rPr>
          <w:rFonts w:eastAsia="等线" w:ascii="Arial" w:cs="Arial" w:hAnsi="Arial"/>
          <w:sz w:val="22"/>
        </w:rPr>
        <w:t>通过实际检查，数据接口应符合2.1.3的要求。</w:t>
      </w:r>
    </w:p>
    <w:p>
      <w:pPr>
        <w:pStyle w:val="3"/>
        <w:spacing w:before="300" w:after="120" w:line="288" w:lineRule="auto"/>
        <w:ind w:left="0"/>
        <w:jc w:val="left"/>
        <w:outlineLvl w:val="2"/>
      </w:pPr>
      <w:bookmarkStart w:name="heading_37" w:id="37"/>
      <w:r>
        <w:rPr>
          <w:rFonts w:eastAsia="等线" w:ascii="Arial" w:cs="Arial" w:hAnsi="Arial"/>
          <w:b w:val="true"/>
          <w:sz w:val="30"/>
        </w:rPr>
        <w:t>特定的软硬件</w:t>
      </w:r>
      <w:bookmarkEnd w:id="37"/>
    </w:p>
    <w:p>
      <w:pPr>
        <w:spacing w:before="120" w:after="120" w:line="288" w:lineRule="auto"/>
        <w:ind w:left="0" w:firstLine="0"/>
        <w:jc w:val="left"/>
      </w:pPr>
      <w:r>
        <w:rPr>
          <w:rFonts w:eastAsia="等线" w:ascii="Arial" w:cs="Arial" w:hAnsi="Arial"/>
          <w:sz w:val="22"/>
        </w:rPr>
        <w:t>通过实际检查，特定的软硬件应符合2.1.4的要求。</w:t>
      </w:r>
    </w:p>
    <w:p>
      <w:pPr>
        <w:pStyle w:val="3"/>
        <w:spacing w:before="300" w:after="120" w:line="288" w:lineRule="auto"/>
        <w:ind w:left="0"/>
        <w:jc w:val="left"/>
        <w:outlineLvl w:val="2"/>
      </w:pPr>
      <w:bookmarkStart w:name="heading_38" w:id="38"/>
      <w:r>
        <w:rPr>
          <w:rFonts w:eastAsia="等线" w:ascii="Arial" w:cs="Arial" w:hAnsi="Arial"/>
          <w:b w:val="true"/>
          <w:sz w:val="30"/>
        </w:rPr>
        <w:t>临床功能</w:t>
      </w:r>
      <w:bookmarkEnd w:id="38"/>
    </w:p>
    <w:p>
      <w:pPr>
        <w:spacing w:before="120" w:after="120" w:line="288" w:lineRule="auto"/>
        <w:ind w:left="0" w:firstLine="420"/>
        <w:jc w:val="left"/>
      </w:pPr>
      <w:r>
        <w:rPr>
          <w:rFonts w:eastAsia="等线" w:ascii="Arial" w:cs="Arial" w:hAnsi="Arial"/>
          <w:sz w:val="22"/>
        </w:rPr>
        <w:t>通过实际操作，临床功能应符合2.1.5的要求。</w:t>
      </w:r>
    </w:p>
    <w:p>
      <w:pPr>
        <w:pStyle w:val="3"/>
        <w:spacing w:before="300" w:after="120" w:line="288" w:lineRule="auto"/>
        <w:ind w:left="0"/>
        <w:jc w:val="left"/>
        <w:outlineLvl w:val="2"/>
      </w:pPr>
      <w:bookmarkStart w:name="heading_39" w:id="39"/>
      <w:r>
        <w:rPr>
          <w:rFonts w:eastAsia="等线" w:ascii="Arial" w:cs="Arial" w:hAnsi="Arial"/>
          <w:b w:val="true"/>
          <w:sz w:val="30"/>
        </w:rPr>
        <w:t>使用限制</w:t>
      </w:r>
      <w:bookmarkEnd w:id="39"/>
    </w:p>
    <w:p>
      <w:pPr>
        <w:spacing w:before="120" w:after="120" w:line="288" w:lineRule="auto"/>
        <w:ind w:left="0" w:firstLine="0"/>
        <w:jc w:val="left"/>
      </w:pPr>
      <w:r>
        <w:rPr>
          <w:rFonts w:eastAsia="等线" w:ascii="Arial" w:cs="Arial" w:hAnsi="Arial"/>
          <w:sz w:val="22"/>
        </w:rPr>
        <w:t>通过实际检查，使用限制应符合2.1.6的要求。</w:t>
      </w:r>
    </w:p>
    <w:p>
      <w:pPr>
        <w:pStyle w:val="3"/>
        <w:spacing w:before="300" w:after="120" w:line="288" w:lineRule="auto"/>
        <w:ind w:left="0"/>
        <w:jc w:val="left"/>
        <w:outlineLvl w:val="2"/>
      </w:pPr>
      <w:bookmarkStart w:name="heading_40" w:id="40"/>
      <w:r>
        <w:rPr>
          <w:rFonts w:eastAsia="等线" w:ascii="Arial" w:cs="Arial" w:hAnsi="Arial"/>
          <w:b w:val="true"/>
          <w:sz w:val="30"/>
        </w:rPr>
        <w:t>用户访问控制</w:t>
      </w:r>
      <w:bookmarkEnd w:id="40"/>
    </w:p>
    <w:p>
      <w:pPr>
        <w:spacing w:before="120" w:after="120" w:line="288" w:lineRule="auto"/>
        <w:ind w:left="0" w:firstLine="0"/>
        <w:jc w:val="left"/>
      </w:pPr>
      <w:r>
        <w:rPr>
          <w:rFonts w:eastAsia="等线" w:ascii="Arial" w:cs="Arial" w:hAnsi="Arial"/>
          <w:sz w:val="22"/>
        </w:rPr>
        <w:t>通过实际检查，用户访问控制应符合2.1.7的要求。</w:t>
      </w:r>
    </w:p>
    <w:p>
      <w:pPr>
        <w:pStyle w:val="3"/>
        <w:spacing w:before="300" w:after="120" w:line="288" w:lineRule="auto"/>
        <w:ind w:left="0"/>
        <w:jc w:val="left"/>
        <w:outlineLvl w:val="2"/>
      </w:pPr>
      <w:bookmarkStart w:name="heading_41" w:id="41"/>
      <w:r>
        <w:rPr>
          <w:rFonts w:eastAsia="等线" w:ascii="Arial" w:cs="Arial" w:hAnsi="Arial"/>
          <w:b w:val="true"/>
          <w:sz w:val="30"/>
        </w:rPr>
        <w:t>版权保护</w:t>
      </w:r>
      <w:bookmarkEnd w:id="41"/>
    </w:p>
    <w:p>
      <w:pPr>
        <w:spacing w:before="120" w:after="120" w:line="288" w:lineRule="auto"/>
        <w:ind w:left="0" w:firstLine="0"/>
        <w:jc w:val="left"/>
      </w:pPr>
      <w:r>
        <w:rPr>
          <w:rFonts w:eastAsia="等线" w:ascii="Arial" w:cs="Arial" w:hAnsi="Arial"/>
          <w:sz w:val="22"/>
        </w:rPr>
        <w:t>不适用。</w:t>
      </w:r>
    </w:p>
    <w:p>
      <w:pPr>
        <w:pStyle w:val="3"/>
        <w:spacing w:before="300" w:after="120" w:line="288" w:lineRule="auto"/>
        <w:ind w:left="0"/>
        <w:jc w:val="left"/>
        <w:outlineLvl w:val="2"/>
      </w:pPr>
      <w:bookmarkStart w:name="heading_42" w:id="42"/>
      <w:r>
        <w:rPr>
          <w:rFonts w:eastAsia="等线" w:ascii="Arial" w:cs="Arial" w:hAnsi="Arial"/>
          <w:b w:val="true"/>
          <w:sz w:val="30"/>
        </w:rPr>
        <w:t>用户界面</w:t>
      </w:r>
      <w:bookmarkEnd w:id="42"/>
    </w:p>
    <w:p>
      <w:pPr>
        <w:spacing w:before="120" w:after="120" w:line="288" w:lineRule="auto"/>
        <w:ind w:left="0" w:firstLine="0"/>
        <w:jc w:val="left"/>
      </w:pPr>
      <w:r>
        <w:rPr>
          <w:rFonts w:eastAsia="等线" w:ascii="Arial" w:cs="Arial" w:hAnsi="Arial"/>
          <w:sz w:val="22"/>
        </w:rPr>
        <w:t>通过实际检查，用户界面应符合2.1.9的要求。</w:t>
      </w:r>
    </w:p>
    <w:p>
      <w:pPr>
        <w:pStyle w:val="3"/>
        <w:spacing w:before="300" w:after="120" w:line="288" w:lineRule="auto"/>
        <w:ind w:left="0"/>
        <w:jc w:val="left"/>
        <w:outlineLvl w:val="2"/>
      </w:pPr>
      <w:bookmarkStart w:name="heading_43" w:id="43"/>
      <w:r>
        <w:rPr>
          <w:rFonts w:eastAsia="等线" w:ascii="Arial" w:cs="Arial" w:hAnsi="Arial"/>
          <w:b w:val="true"/>
          <w:sz w:val="30"/>
        </w:rPr>
        <w:t>消息</w:t>
      </w:r>
      <w:bookmarkEnd w:id="43"/>
    </w:p>
    <w:p>
      <w:pPr>
        <w:spacing w:before="120" w:after="120" w:line="288" w:lineRule="auto"/>
        <w:ind w:left="0" w:firstLine="420"/>
        <w:jc w:val="left"/>
      </w:pPr>
      <w:r>
        <w:rPr>
          <w:rFonts w:eastAsia="等线" w:ascii="Arial" w:cs="Arial" w:hAnsi="Arial"/>
          <w:sz w:val="22"/>
        </w:rPr>
        <w:t>通过实际检查，消息应符合2.1.10的要求。</w:t>
      </w:r>
    </w:p>
    <w:p>
      <w:pPr>
        <w:pStyle w:val="3"/>
        <w:spacing w:before="300" w:after="120" w:line="288" w:lineRule="auto"/>
        <w:ind w:left="0"/>
        <w:jc w:val="left"/>
        <w:outlineLvl w:val="2"/>
      </w:pPr>
      <w:bookmarkStart w:name="heading_44" w:id="44"/>
      <w:r>
        <w:rPr>
          <w:rFonts w:eastAsia="等线" w:ascii="Arial" w:cs="Arial" w:hAnsi="Arial"/>
          <w:b w:val="true"/>
          <w:sz w:val="30"/>
        </w:rPr>
        <w:t>可靠性</w:t>
      </w:r>
      <w:bookmarkEnd w:id="44"/>
    </w:p>
    <w:p>
      <w:pPr>
        <w:spacing w:before="120" w:after="120" w:line="288" w:lineRule="auto"/>
        <w:ind w:left="0" w:firstLine="420"/>
        <w:jc w:val="left"/>
      </w:pPr>
      <w:r>
        <w:rPr>
          <w:rFonts w:eastAsia="等线" w:ascii="Arial" w:cs="Arial" w:hAnsi="Arial"/>
          <w:sz w:val="22"/>
        </w:rPr>
        <w:t>通过实际检查，可靠性应符合2.1.11的要求。</w:t>
      </w:r>
    </w:p>
    <w:p>
      <w:pPr>
        <w:pStyle w:val="3"/>
        <w:spacing w:before="300" w:after="120" w:line="288" w:lineRule="auto"/>
        <w:ind w:left="0"/>
        <w:jc w:val="left"/>
        <w:outlineLvl w:val="2"/>
      </w:pPr>
      <w:bookmarkStart w:name="heading_45" w:id="45"/>
      <w:r>
        <w:rPr>
          <w:rFonts w:eastAsia="等线" w:ascii="Arial" w:cs="Arial" w:hAnsi="Arial"/>
          <w:b w:val="true"/>
          <w:sz w:val="30"/>
        </w:rPr>
        <w:t xml:space="preserve">维护性  </w:t>
      </w:r>
      <w:bookmarkEnd w:id="45"/>
    </w:p>
    <w:p>
      <w:pPr>
        <w:spacing w:before="120" w:after="120" w:line="288" w:lineRule="auto"/>
        <w:ind w:left="0" w:firstLine="420"/>
        <w:jc w:val="left"/>
      </w:pPr>
      <w:r>
        <w:rPr>
          <w:rFonts w:eastAsia="等线" w:ascii="Arial" w:cs="Arial" w:hAnsi="Arial"/>
          <w:sz w:val="22"/>
        </w:rPr>
        <w:t>通过实际检查，维护性应符合2.1.12的要求。</w:t>
      </w:r>
    </w:p>
    <w:p>
      <w:pPr>
        <w:pStyle w:val="3"/>
        <w:spacing w:before="300" w:after="120" w:line="288" w:lineRule="auto"/>
        <w:ind w:left="0"/>
        <w:jc w:val="left"/>
        <w:outlineLvl w:val="2"/>
      </w:pPr>
      <w:bookmarkStart w:name="heading_46" w:id="46"/>
      <w:r>
        <w:rPr>
          <w:rFonts w:eastAsia="等线" w:ascii="Arial" w:cs="Arial" w:hAnsi="Arial"/>
          <w:b w:val="true"/>
          <w:sz w:val="30"/>
        </w:rPr>
        <w:t>效率</w:t>
      </w:r>
      <w:bookmarkEnd w:id="46"/>
    </w:p>
    <w:p>
      <w:pPr>
        <w:spacing w:before="120" w:after="120" w:line="288" w:lineRule="auto"/>
        <w:ind w:left="0" w:firstLine="0"/>
        <w:jc w:val="left"/>
      </w:pPr>
      <w:r>
        <w:rPr>
          <w:rFonts w:eastAsia="等线" w:ascii="Arial" w:cs="Arial" w:hAnsi="Arial"/>
          <w:sz w:val="22"/>
        </w:rPr>
        <w:t>在云端配置虚拟局域网，网速不低于100kb/s，打开一份时长为5分钟、格式为“Hecg”的数据，通过查看后台日志，计算从打开到得到分析结果所用时间，结果应符合2.1.13的要求。</w:t>
      </w:r>
    </w:p>
    <w:p>
      <w:pPr>
        <w:pStyle w:val="3"/>
        <w:spacing w:before="300" w:after="120" w:line="288" w:lineRule="auto"/>
        <w:ind w:left="0"/>
        <w:jc w:val="left"/>
        <w:outlineLvl w:val="2"/>
      </w:pPr>
      <w:bookmarkStart w:name="heading_47" w:id="47"/>
      <w:r>
        <w:rPr>
          <w:rFonts w:eastAsia="等线" w:ascii="Arial" w:cs="Arial" w:hAnsi="Arial"/>
          <w:b w:val="true"/>
          <w:sz w:val="30"/>
        </w:rPr>
        <w:t>运行环境</w:t>
      </w:r>
      <w:bookmarkEnd w:id="47"/>
    </w:p>
    <w:p>
      <w:pPr>
        <w:spacing w:before="120" w:after="120" w:line="288" w:lineRule="auto"/>
        <w:ind w:left="0" w:firstLine="0"/>
        <w:jc w:val="left"/>
      </w:pPr>
      <w:r>
        <w:rPr>
          <w:rFonts w:eastAsia="等线" w:ascii="Arial" w:cs="Arial" w:hAnsi="Arial"/>
          <w:sz w:val="22"/>
        </w:rPr>
        <w:t>通过实际检查，运行环境应符合2.1.14的要求。</w:t>
      </w:r>
    </w:p>
    <w:p>
      <w:pPr>
        <w:pStyle w:val="3"/>
        <w:spacing w:before="300" w:after="120" w:line="288" w:lineRule="auto"/>
        <w:ind w:left="0"/>
        <w:jc w:val="left"/>
        <w:outlineLvl w:val="2"/>
      </w:pPr>
      <w:bookmarkStart w:name="heading_48" w:id="48"/>
      <w:r>
        <w:rPr>
          <w:rFonts w:eastAsia="等线" w:ascii="Arial" w:cs="Arial" w:hAnsi="Arial"/>
          <w:b w:val="true"/>
          <w:sz w:val="30"/>
        </w:rPr>
        <w:t xml:space="preserve">质量要求 </w:t>
      </w:r>
      <w:bookmarkEnd w:id="48"/>
    </w:p>
    <w:p>
      <w:pPr>
        <w:spacing w:before="120" w:after="120" w:line="288" w:lineRule="auto"/>
        <w:ind w:left="0" w:firstLine="0"/>
        <w:jc w:val="left"/>
      </w:pPr>
      <w:r>
        <w:rPr>
          <w:rFonts w:eastAsia="等线" w:ascii="Arial" w:cs="Arial" w:hAnsi="Arial"/>
          <w:sz w:val="22"/>
        </w:rPr>
        <w:t>通过实际检查，质量要求应符合2.2的要求。</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9" w:id="49"/>
      <w:r>
        <w:rPr>
          <w:rFonts w:eastAsia="等线" w:ascii="Arial" w:cs="Arial" w:hAnsi="Arial"/>
          <w:b w:val="true"/>
          <w:sz w:val="32"/>
        </w:rPr>
        <w:t>附录A</w:t>
      </w:r>
      <w:bookmarkEnd w:id="49"/>
    </w:p>
    <w:p>
      <w:pPr>
        <w:pStyle w:val="3"/>
        <w:spacing w:before="300" w:after="120" w:line="288" w:lineRule="auto"/>
        <w:ind w:left="0"/>
        <w:jc w:val="left"/>
        <w:outlineLvl w:val="2"/>
      </w:pPr>
      <w:bookmarkStart w:name="heading_50" w:id="50"/>
      <w:r>
        <w:rPr>
          <w:rFonts w:eastAsia="等线" w:ascii="Arial" w:cs="Arial" w:hAnsi="Arial"/>
          <w:b w:val="true"/>
          <w:sz w:val="30"/>
        </w:rPr>
        <w:t>体系结构图及必要注释</w:t>
      </w:r>
      <w:bookmarkEnd w:id="50"/>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1" w:id="51"/>
      <w:r>
        <w:rPr>
          <w:rFonts w:eastAsia="等线" w:ascii="Arial" w:cs="Arial" w:hAnsi="Arial"/>
          <w:b w:val="true"/>
          <w:sz w:val="32"/>
        </w:rPr>
        <w:t>附录B</w:t>
      </w:r>
      <w:bookmarkEnd w:id="51"/>
    </w:p>
    <w:p>
      <w:pPr>
        <w:pStyle w:val="3"/>
        <w:spacing w:before="300" w:after="120" w:line="288" w:lineRule="auto"/>
        <w:ind w:left="0"/>
        <w:jc w:val="left"/>
        <w:outlineLvl w:val="2"/>
      </w:pPr>
      <w:bookmarkStart w:name="heading_52" w:id="52"/>
      <w:r>
        <w:rPr>
          <w:rFonts w:eastAsia="等线" w:ascii="Arial" w:cs="Arial" w:hAnsi="Arial"/>
          <w:b w:val="true"/>
          <w:sz w:val="30"/>
        </w:rPr>
        <w:t>用户界面关系图及必要注释</w:t>
      </w:r>
      <w:bookmarkEnd w:id="52"/>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3"/>
        <w:spacing w:before="300" w:after="120" w:line="288" w:lineRule="auto"/>
        <w:ind w:left="0"/>
        <w:jc w:val="left"/>
        <w:outlineLvl w:val="2"/>
      </w:pPr>
      <w:bookmarkStart w:name="heading_53" w:id="53"/>
      <w:bookmarkEnd w:id="53"/>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4" w:id="54"/>
      <w:r>
        <w:rPr>
          <w:rFonts w:eastAsia="等线" w:ascii="Arial" w:cs="Arial" w:hAnsi="Arial"/>
          <w:b w:val="true"/>
          <w:sz w:val="32"/>
        </w:rPr>
        <w:t>附录C</w:t>
      </w:r>
      <w:bookmarkEnd w:id="54"/>
    </w:p>
    <w:p>
      <w:pPr>
        <w:pStyle w:val="3"/>
        <w:spacing w:before="300" w:after="120" w:line="288" w:lineRule="auto"/>
        <w:ind w:left="0"/>
        <w:jc w:val="left"/>
        <w:outlineLvl w:val="2"/>
      </w:pPr>
      <w:bookmarkStart w:name="heading_55" w:id="55"/>
      <w:r>
        <w:rPr>
          <w:rFonts w:eastAsia="等线" w:ascii="Arial" w:cs="Arial" w:hAnsi="Arial"/>
          <w:b w:val="true"/>
          <w:sz w:val="30"/>
        </w:rPr>
        <w:t>物理拓扑图及必要注释</w:t>
      </w:r>
      <w:bookmarkEnd w:id="55"/>
    </w:p>
    <w:p>
      <w:pPr>
        <w:spacing w:before="120" w:after="120" w:line="288" w:lineRule="auto"/>
        <w:ind w:left="0" w:firstLine="0"/>
        <w:jc w:val="left"/>
      </w:pPr>
      <w:r>
        <w:rPr>
          <w:rFonts w:eastAsia="等线" w:ascii="Arial" w:cs="Arial" w:hAnsi="Arial"/>
          <w:sz w:val="22"/>
        </w:rPr>
        <w:t>注释：</w:t>
      </w:r>
    </w:p>
    <w:p>
      <w:pPr>
        <w:spacing w:before="120" w:after="120" w:line="288" w:lineRule="auto"/>
        <w:ind w:left="0" w:firstLine="0"/>
        <w:jc w:val="left"/>
      </w:pPr>
      <w:r>
        <w:rPr>
          <w:rFonts w:eastAsia="等线" w:ascii="Arial" w:cs="Arial" w:hAnsi="Arial"/>
          <w:sz w:val="22"/>
        </w:rPr>
        <w:t>图中的虚线箭头，单向箭头代表没有回路，只是单向性的，双向箭头代表有回路。</w:t>
      </w:r>
    </w:p>
    <w:p>
      <w:pPr>
        <w:spacing w:before="120" w:after="120" w:line="288" w:lineRule="auto"/>
        <w:ind w:left="0" w:firstLine="0"/>
        <w:jc w:val="left"/>
      </w:pPr>
      <w:r>
        <w:rPr>
          <w:rFonts w:eastAsia="等线" w:ascii="Arial" w:cs="Arial" w:hAnsi="Arial"/>
          <w:sz w:val="22"/>
        </w:rPr>
        <w:t>图中的三个用户端PC代表多个的意思，三个不代表一个确定的数量。</w:t>
      </w:r>
    </w:p>
    <w:p>
      <w:pPr>
        <w:pStyle w:val="2"/>
        <w:spacing w:before="320" w:after="120" w:line="288" w:lineRule="auto"/>
        <w:ind w:left="0"/>
        <w:jc w:val="left"/>
        <w:outlineLvl w:val="1"/>
      </w:pPr>
      <w:bookmarkStart w:name="heading_56" w:id="56"/>
      <w:bookmarkEnd w:id="56"/>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2025-12-31T08:52:59Z</dcterms:created>
  <dc:creator>Apache POI</dc:creator>
</cp:coreProperties>
</file>