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心电风险人群生活方式干预服务系统：战略规划与产品需求文档 (PRD)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执行摘要与战略定位：从“诊断焦虑”到“行为管理”的范式转移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数字健康市场正经历一场深刻的结构性转型：从单纯依赖硬件的“检测与诊断”模式，转向以结果为导向的“服务与干预”层级。虽然消费级心电（ECG）监测设备已实现普及，但单纯的心电图波形捕捉并不能解决用户的核心痛点——焦虑。对于数以百万计被设备标记为“中高风险”但尚未达到临床急救标准的用户而言，他们处于医疗体系的“灰色地带”。这一群体不需要昂贵的医疗诊断（他们往往已经知道自己有早搏或心律不齐），他们迫切需要的是一套非医疗的、可执行的、能缓解心理焦虑的</w:t>
      </w:r>
      <w:r>
        <w:rPr>
          <w:rFonts w:eastAsia="等线" w:ascii="Arial" w:cs="Arial" w:hAnsi="Arial"/>
          <w:b w:val="true"/>
          <w:sz w:val="22"/>
        </w:rPr>
        <w:t>生活方式管理方案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本报告详尽阐述了“心电风险人群生活方式干预服务”（Cardiac Lifestyle &amp; Nutrition Entrainment System, CLANES）的产品架构、运营逻辑与技术规范。该服务的核心战略在于精准切入“心电异常”触发的心理窗口期，利用这一高动机时刻，提供一套</w:t>
      </w:r>
      <w:r>
        <w:rPr>
          <w:rFonts w:eastAsia="等线" w:ascii="Arial" w:cs="Arial" w:hAnsi="Arial"/>
          <w:b w:val="true"/>
          <w:sz w:val="22"/>
        </w:rPr>
        <w:t>非医疗属性的、基于生活方式标签算法的 28 天行为干预计划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市场机会：填补“临床真空”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传统医疗体系设计用于急性干预——治疗心肌梗死或管理确诊的心力衰竭。它并不擅长应对“亚临床”状态的用户：那些频发早搏、ST 段轻微改变或有主观心悸感，但临床指征尚未达到手术或药物治疗标准的人群。对于这类用户，医生通常的建议是“观察”或“少喝咖啡”，这种模糊的建议无法缓解用户的恐惧。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CLANES 系统填补了这一真空。我们将营养师和健康管理师的角色从“辅助医疗”重新定位为**“生活方式负担管理者”**。这一界定至关重要：我们不治疗心脏病理，我们管理的是加重病理负担的环境与行为变量（如咖啡因代谢、钠盐摄入、睡眠剥夺）。这种定位不仅规避了互联网医疗的严苛监管风险 (1)，更通过高频的轻量级互动，建立了极高的用户粘性 (3)。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战略护城河：非医疗边界的商业价值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建立严格的“非医疗”服务边界是本方案的核心战略资产。通过明确排除诊断与处方权，我们实现了三个商业目标：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监管敏捷性</w:t>
      </w:r>
      <w:r>
        <w:rPr>
          <w:rFonts w:eastAsia="等线" w:ascii="Arial" w:cs="Arial" w:hAnsi="Arial"/>
          <w:sz w:val="22"/>
        </w:rPr>
        <w:t>：绕过互联网医院牌照的高门槛，以“健康咨询”类目合规运营，降低合规成本 (4)。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规模化扩张</w:t>
      </w:r>
      <w:r>
        <w:rPr>
          <w:rFonts w:eastAsia="等线" w:ascii="Arial" w:cs="Arial" w:hAnsi="Arial"/>
          <w:sz w:val="22"/>
        </w:rPr>
        <w:t>：利用人力成本相对较低的营养师资源替代昂贵的医生资源，通过算法辅助实现 1:40 的高人效比 (6)。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订阅制模型</w:t>
      </w:r>
      <w:r>
        <w:rPr>
          <w:rFonts w:eastAsia="等线" w:ascii="Arial" w:cs="Arial" w:hAnsi="Arial"/>
          <w:sz w:val="22"/>
        </w:rPr>
        <w:t>：医疗是低频的（治愈即结束），而生活方式管理是长周期的（习惯养成 -&gt; 维持），天然契合 28 天周期的复购逻辑 (7)。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监管环境与合规架构设计（中国市场特供）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在中国严格的互联网医疗监管环境下，厘清“健康咨询”与“医疗诊疗”的法律边界是业务存亡的关键。基于最新的《互联网诊疗管理办法（试行）》及相关司法判例 (1)，本产品必须建立严密的合规防火墙。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法律红线：诊疗活动 vs. 健康咨询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中国法律规定，“医疗诊疗活动”仅限于取得《医疗机构执业许可证》的机构和注册医师进行。CLANES 必须严格定位于“健康咨询”服务，其法律界限如下表所示：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 1：CLANES 服务合规边界矩阵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风险控制：“禁用词”协议与自动化拦截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为了从系统层面杜绝违规风险，必须在营养师的工作台（Dashboard）植入“实时语义拦截系统”。基于亚马逊及国内电商平台的违禁词库逻辑 (11)，我们构建了 CLANES 专属的**“负面关键词库”**。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一级违禁词（系统自动屏蔽无法发送）：</w:t>
      </w:r>
      <w:r>
        <w:rPr>
          <w:rFonts w:eastAsia="等线" w:ascii="Arial" w:cs="Arial" w:hAnsi="Arial"/>
          <w:sz w:val="22"/>
        </w:rPr>
        <w:t xml:space="preserve"> 治愈 (Cure)、治疗 (Treat)、诊断 (Diagnosis)、患者 (Patient - 必须用“用户/学员”)、药 (Medicine)、处方 (Prescription)、疗效 (Curative Effect)。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二级预警词（弹窗提示营养师二次确认）：</w:t>
      </w:r>
      <w:r>
        <w:rPr>
          <w:rFonts w:eastAsia="等线" w:ascii="Arial" w:cs="Arial" w:hAnsi="Arial"/>
          <w:sz w:val="22"/>
        </w:rPr>
        <w:t xml:space="preserve"> 心脏病 (Heart Disease)、风险 (Risk - 需限定为“生活方式风险”)、症状 (Symptom - 需替换为“感受/体验”)、医院 (Hospital)。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话术重构原则：</w:t>
      </w:r>
      <w:r>
        <w:rPr>
          <w:rFonts w:eastAsia="等线" w:ascii="Arial" w:cs="Arial" w:hAnsi="Arial"/>
          <w:sz w:val="22"/>
        </w:rPr>
        <w:t xml:space="preserve"> 所有涉及身体状态的描述，必须将主语从“病”转换为“人”。例如，不说“这能治你的失眠”，而说“这能帮助你建立更好的睡前节律” (7)。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免责声明体系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App 启动页、周报页脚及每一次 1:1 咨询开始前，必须强制展示不可跳过的免责声明：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“本服务仅提供基于生活方式和营养学的健康建议，旨在促进健康行为，不属于医疗诊疗活动。我们无法替代专业医生的诊断、治疗或建议。若您出现胸痛、呼吸困难、晕厥等症状，请立即停止使用本服务并寻求紧急医疗救助。” 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产品需求文档 (PRD)：核心逻辑与算法引擎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产品定义与用户画像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产品名称：</w:t>
      </w:r>
      <w:r>
        <w:rPr>
          <w:rFonts w:eastAsia="等线" w:ascii="Arial" w:cs="Arial" w:hAnsi="Arial"/>
          <w:sz w:val="22"/>
        </w:rPr>
        <w:t xml:space="preserve"> 心电风险人群生活方式干预系统 (CLANES)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核心承诺：</w:t>
      </w:r>
      <w:r>
        <w:rPr>
          <w:rFonts w:eastAsia="等线" w:ascii="Arial" w:cs="Arial" w:hAnsi="Arial"/>
          <w:sz w:val="22"/>
        </w:rPr>
        <w:t xml:space="preserve"> “我们不改变你的医疗结果，只优化你</w:t>
      </w:r>
      <w:r>
        <w:rPr>
          <w:rFonts w:eastAsia="等线" w:ascii="Arial" w:cs="Arial" w:hAnsi="Arial"/>
          <w:b w:val="true"/>
          <w:sz w:val="22"/>
        </w:rPr>
        <w:t>可控的生活部分</w:t>
      </w:r>
      <w:r>
        <w:rPr>
          <w:rFonts w:eastAsia="等线" w:ascii="Arial" w:cs="Arial" w:hAnsi="Arial"/>
          <w:sz w:val="22"/>
        </w:rPr>
        <w:t>。”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服务模式：</w:t>
      </w:r>
      <w:r>
        <w:rPr>
          <w:rFonts w:eastAsia="等线" w:ascii="Arial" w:cs="Arial" w:hAnsi="Arial"/>
          <w:sz w:val="22"/>
        </w:rPr>
        <w:t xml:space="preserve"> 28 天混合干预（自动化规则引擎 + 1:1 人工监督）。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3.1.1 深度用户画像分析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理解用户焦虑的颗粒度是转化的关键。我们基于 ECG 触发场景细分三类用户：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Persona A：数据驱动型高管（"焦虑优化者"）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特征：</w:t>
      </w:r>
      <w:r>
        <w:rPr>
          <w:rFonts w:eastAsia="等线" w:ascii="Arial" w:cs="Arial" w:hAnsi="Arial"/>
          <w:sz w:val="22"/>
        </w:rPr>
        <w:t xml:space="preserve"> 男性，35-45岁，一线城市，佩戴 Apple Watch 或华为 GT。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触发点：</w:t>
      </w:r>
      <w:r>
        <w:rPr>
          <w:rFonts w:eastAsia="等线" w:ascii="Arial" w:cs="Arial" w:hAnsi="Arial"/>
          <w:sz w:val="22"/>
        </w:rPr>
        <w:t xml:space="preserve"> 深夜加班时收到“疑似房颤”或“高频早搏”提示。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心理模型：</w:t>
      </w:r>
      <w:r>
        <w:rPr>
          <w:rFonts w:eastAsia="等线" w:ascii="Arial" w:cs="Arial" w:hAnsi="Arial"/>
          <w:sz w:val="22"/>
        </w:rPr>
        <w:t xml:space="preserve"> 恐惧猝死，试图通过“控制变量”来消除不确定性。他们不需要模糊的安慰（“别太累”），需要的是数据化的指令（“下午 2 点后停止咖啡因”）。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产品对策：</w:t>
      </w:r>
      <w:r>
        <w:rPr>
          <w:rFonts w:eastAsia="等线" w:ascii="Arial" w:cs="Arial" w:hAnsi="Arial"/>
          <w:sz w:val="22"/>
        </w:rPr>
        <w:t xml:space="preserve"> 提供可视化的“负担雷达图”，用数据说话 (16)。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Persona B：负罪感享乐者（"补救型用户"）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特征：</w:t>
      </w:r>
      <w:r>
        <w:rPr>
          <w:rFonts w:eastAsia="等线" w:ascii="Arial" w:cs="Arial" w:hAnsi="Arial"/>
          <w:sz w:val="22"/>
        </w:rPr>
        <w:t xml:space="preserve"> 25-35岁，饮食作息极不规律。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触发点：</w:t>
      </w:r>
      <w:r>
        <w:rPr>
          <w:rFonts w:eastAsia="等线" w:ascii="Arial" w:cs="Arial" w:hAnsi="Arial"/>
          <w:sz w:val="22"/>
        </w:rPr>
        <w:t xml:space="preserve"> 宿醉或熬夜后出现明显心悸。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心理模型：</w:t>
      </w:r>
      <w:r>
        <w:rPr>
          <w:rFonts w:eastAsia="等线" w:ascii="Arial" w:cs="Arial" w:hAnsi="Arial"/>
          <w:sz w:val="22"/>
        </w:rPr>
        <w:t xml:space="preserve"> 知道自己生活方式有问题，但缺乏自律。寻求外部权威的“监督”和“重启计划”来减轻内疚感。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产品对策：</w:t>
      </w:r>
      <w:r>
        <w:rPr>
          <w:rFonts w:eastAsia="等线" w:ascii="Arial" w:cs="Arial" w:hAnsi="Arial"/>
          <w:sz w:val="22"/>
        </w:rPr>
        <w:t xml:space="preserve"> 强调“28天陪跑”和“监督打卡”，提供“赎罪”的心理路径 (17)。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核心功能：多维标签与归因算法 (The Labeling Engine)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这是系统的“大脑”。问卷的所有答案都不只是文本，而是直接映射为 JSON 格式的标签。这些标签决定了用户接下来 28 天看到的所有内容 (18)。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标签映射逻辑表</w:t>
      </w:r>
      <w:bookmarkEnd w:id="11"/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负担优先级算法 (The "Triage" Logic)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用户往往同时存在多种问题（既熬夜又喝咖啡）。系统不能同时干预所有问题，否则会导致用户放弃。我们采用**“生理负担优先”**算法来确定每周的主题 (20)。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逻辑规则 1（熔断机制）：</w:t>
      </w:r>
      <w:r>
        <w:rPr>
          <w:rFonts w:eastAsia="等线" w:ascii="Arial" w:cs="Arial" w:hAnsi="Arial"/>
          <w:sz w:val="22"/>
        </w:rPr>
        <w:t xml:space="preserve"> 若存在 </w:t>
      </w:r>
      <w:r>
        <w:rPr>
          <w:rFonts w:eastAsia="Consolas" w:ascii="Consolas" w:cs="Consolas" w:hAnsi="Consolas"/>
          <w:sz w:val="22"/>
          <w:shd w:fill="EFF0F1"/>
        </w:rPr>
        <w:t>CAF_VERY_HIGH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ALCO_HIGH</w:t>
      </w:r>
      <w:r>
        <w:rPr>
          <w:rFonts w:eastAsia="等线" w:ascii="Arial" w:cs="Arial" w:hAnsi="Arial"/>
          <w:sz w:val="22"/>
        </w:rPr>
        <w:t xml:space="preserve">，必须作为 </w:t>
      </w:r>
      <w:r>
        <w:rPr>
          <w:rFonts w:eastAsia="等线" w:ascii="Arial" w:cs="Arial" w:hAnsi="Arial"/>
          <w:b w:val="true"/>
          <w:sz w:val="22"/>
        </w:rPr>
        <w:t>Week 1</w:t>
      </w:r>
      <w:r>
        <w:rPr>
          <w:rFonts w:eastAsia="等线" w:ascii="Arial" w:cs="Arial" w:hAnsi="Arial"/>
          <w:sz w:val="22"/>
        </w:rPr>
        <w:t xml:space="preserve"> 的唯一重点。理由：这是最直接的心律失常诱因，干预见效最快，能迅速建立用户信任。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逻辑规则 2（基石机制）：</w:t>
      </w:r>
      <w:r>
        <w:rPr>
          <w:rFonts w:eastAsia="等线" w:ascii="Arial" w:cs="Arial" w:hAnsi="Arial"/>
          <w:sz w:val="22"/>
        </w:rPr>
        <w:t xml:space="preserve"> 若无严重刺激物问题，但存在 </w:t>
      </w:r>
      <w:r>
        <w:rPr>
          <w:rFonts w:eastAsia="Consolas" w:ascii="Consolas" w:cs="Consolas" w:hAnsi="Consolas"/>
          <w:sz w:val="22"/>
          <w:shd w:fill="EFF0F1"/>
        </w:rPr>
        <w:t>SLEEP_VERY_LATE</w:t>
      </w:r>
      <w:r>
        <w:rPr>
          <w:rFonts w:eastAsia="等线" w:ascii="Arial" w:cs="Arial" w:hAnsi="Arial"/>
          <w:sz w:val="22"/>
        </w:rPr>
        <w:t xml:space="preserve">，则睡眠为 </w:t>
      </w:r>
      <w:r>
        <w:rPr>
          <w:rFonts w:eastAsia="等线" w:ascii="Arial" w:cs="Arial" w:hAnsi="Arial"/>
          <w:b w:val="true"/>
          <w:sz w:val="22"/>
        </w:rPr>
        <w:t>Week 1</w:t>
      </w:r>
      <w:r>
        <w:rPr>
          <w:rFonts w:eastAsia="等线" w:ascii="Arial" w:cs="Arial" w:hAnsi="Arial"/>
          <w:sz w:val="22"/>
        </w:rPr>
        <w:t xml:space="preserve"> 重点。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逻辑规则 3（优化机制）：</w:t>
      </w:r>
      <w:r>
        <w:rPr>
          <w:rFonts w:eastAsia="等线" w:ascii="Arial" w:cs="Arial" w:hAnsi="Arial"/>
          <w:sz w:val="22"/>
        </w:rPr>
        <w:t xml:space="preserve"> 若前两者均无，则进入 </w:t>
      </w:r>
      <w:r>
        <w:rPr>
          <w:rFonts w:eastAsia="Consolas" w:ascii="Consolas" w:cs="Consolas" w:hAnsi="Consolas"/>
          <w:sz w:val="22"/>
          <w:shd w:fill="EFF0F1"/>
        </w:rPr>
        <w:t>DIET_SALT_HIGH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DIET_OUT_HIGH</w:t>
      </w:r>
      <w:r>
        <w:rPr>
          <w:rFonts w:eastAsia="等线" w:ascii="Arial" w:cs="Arial" w:hAnsi="Arial"/>
          <w:sz w:val="22"/>
        </w:rPr>
        <w:t xml:space="preserve"> 的饮食结构调整。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算法伪代码示例：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determineWeeklyFocus(userTags) {</w:t>
              <w:br/>
              <w:t xml:space="preserve">  // 1. 检查急性刺激物（最高优先级）if (userTags.includes('CAF_VERY_HIGH') |</w:t>
              <w:br/>
              <w:br/>
              <w:t>| userTags.includes('ALCO_HIGH')) {</w:t>
              <w:br/>
              <w:t xml:space="preserve">    return 'PRIORITY_STIMULANT';</w:t>
              <w:br/>
              <w:t xml:space="preserve">  }</w:t>
              <w:br/>
              <w:t xml:space="preserve">  // 2. 检查恢复缺陷（次级优先级）if (userTags.includes('SLEEP_VERY_LATE') |</w:t>
              <w:br/>
              <w:br/>
              <w:t>| userTags.includes('SLEEP_DEPRIVED')) {</w:t>
              <w:br/>
              <w:t xml:space="preserve">    return 'PRIORITY_SLEEP';</w:t>
              <w:br/>
              <w:t xml:space="preserve">  }</w:t>
              <w:br/>
              <w:t xml:space="preserve">  // 3. 检查饮食结构（基础优先级）if (userTags.includes('DIET_SALT_HIGH')) {</w:t>
              <w:br/>
              <w:t xml:space="preserve">    return 'PRIORITY_DIET_DASH';</w:t>
              <w:br/>
              <w:t xml:space="preserve">  }</w:t>
              <w:br/>
              <w:t xml:space="preserve">  // 默认：压力管理与综合调整return 'PRIORITY_STRESS_MANAGEMENT';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技术架构与数据规范 (Technical Architecture)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为了支持上述逻辑并确保数据安全，系统需采用微服务架构，核心在于标准化的 JSON 数据交换格式 (21)。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用户档案数据模型 (User Profile Schema)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此模型存储用户的静态画像与动态标签状态。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"$schema": "https://clanes.health/schemas/user_profile.json",</w:t>
              <w:br/>
              <w:t xml:space="preserve">  "user_id": "U_882910_CN",</w:t>
              <w:br/>
              <w:t xml:space="preserve">  "consent_status": {</w:t>
              <w:br/>
              <w:t xml:space="preserve">    "terms_accepted": true,</w:t>
              <w:br/>
              <w:t xml:space="preserve">    "privacy_policy_version": "v2.1",</w:t>
              <w:br/>
              <w:t xml:space="preserve">    "medical_disclaimer_viewed": true</w:t>
              <w:br/>
              <w:t xml:space="preserve">  },</w:t>
              <w:br/>
              <w:t xml:space="preserve">  "risk_snapshot": {</w:t>
              <w:br/>
              <w:t xml:space="preserve">    "ecg_source_device": "HuaweiWatch_GT3",</w:t>
              <w:br/>
              <w:t xml:space="preserve">    "risk_level": "MEDIUM_HIGH",</w:t>
              <w:br/>
              <w:t xml:space="preserve">    "last_ecg_date": "2024-05-20"</w:t>
              <w:br/>
              <w:t xml:space="preserve">  },</w:t>
              <w:br/>
              <w:t xml:space="preserve">  "lifestyle_tags":,</w:t>
              <w:br/>
              <w:t xml:space="preserve">  "program_state": {</w:t>
              <w:br/>
              <w:t xml:space="preserve">    "current_phase": "WEEK_1",</w:t>
              <w:br/>
              <w:t xml:space="preserve">    "active_priority": "PRIORITY_STIMULANT",</w:t>
              <w:br/>
              <w:t xml:space="preserve">    "assigned_nutritionist_id": "NUT_003"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干预内容包模型 (Intervention Pack Schema)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为了实现“内容自动化”，每一条建议都被封装为一个标准化的对象，前端只需渲染即可，无需人工编写。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"pack_id": "INT_CAF_WEAN_01",</w:t>
              <w:br/>
              <w:t xml:space="preserve">  "target_tag": "CAF_VERY_HIGH",</w:t>
              <w:br/>
              <w:t xml:space="preserve">  "day_index": 1,</w:t>
              <w:br/>
              <w:t xml:space="preserve">  "content_payload": {</w:t>
              <w:br/>
              <w:t xml:space="preserve">    "headline": "寻找你的'咖啡因宵禁时间'",</w:t>
              <w:br/>
              <w:t xml:space="preserve">    "action_items": [</w:t>
              <w:br/>
              <w:t xml:space="preserve">      {</w:t>
              <w:br/>
              <w:t xml:space="preserve">        "type": "log_time",</w:t>
              <w:br/>
              <w:t xml:space="preserve">        "label": "记录你今天喝下最后一口咖啡的时间",</w:t>
              <w:br/>
              <w:t xml:space="preserve">        "target_value": "14:00"</w:t>
              <w:br/>
              <w:t xml:space="preserve">      }</w:t>
              <w:br/>
              <w:t xml:space="preserve">    ],</w:t>
              <w:br/>
              <w:t xml:space="preserve">    "educational_nugget": "咖啡因的半衰期长达 6-8 小时。下午 4 点的一杯拿铁，意味着晚上 10 点时你体内仍残留 50% 的咖啡因，这会直接干扰深度睡眠。",</w:t>
              <w:br/>
              <w:t xml:space="preserve">    "substitute_recommendation": "下午困倦时，尝试饮用气泡水或薄荷茶，利用冷感刺激神经而非化学刺激。"</w:t>
              <w:br/>
              <w:t xml:space="preserve">  },</w:t>
              <w:br/>
              <w:t xml:space="preserve">  "compliance_check": {</w:t>
              <w:br/>
              <w:t xml:space="preserve">    "question_text": "今天是否在 14:00 前停止了咖啡摄入？",</w:t>
              <w:br/>
              <w:t xml:space="preserve">    "options": ["是，做到了", "没有，喝了一杯", "没喝咖啡"]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技术洞察：</w:t>
      </w:r>
      <w:r>
        <w:rPr>
          <w:rFonts w:eastAsia="等线" w:ascii="Arial" w:cs="Arial" w:hAnsi="Arial"/>
          <w:sz w:val="22"/>
        </w:rPr>
        <w:t xml:space="preserve"> 这种结构化数据允许系统根据用户的反馈（</w:t>
      </w:r>
      <w:r>
        <w:rPr>
          <w:rFonts w:eastAsia="Consolas" w:ascii="Consolas" w:cs="Consolas" w:hAnsi="Consolas"/>
          <w:sz w:val="22"/>
          <w:shd w:fill="EFF0F1"/>
        </w:rPr>
        <w:t>compliance_check</w:t>
      </w:r>
      <w:r>
        <w:rPr>
          <w:rFonts w:eastAsia="等线" w:ascii="Arial" w:cs="Arial" w:hAnsi="Arial"/>
          <w:sz w:val="22"/>
        </w:rPr>
        <w:t>）自动调整第二天的内容难度。如果用户连续 3 天选“没有”，算法可以自动降级为温和版策略（例如从“14:00 截止”放宽到“16:00 截止”），体现“自适应学习”能力 (18)。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用户体验 (UX) 与 28 天干预课程设计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CLANES 的核心产品不是 App，而是**“这一套 28 天的体验流”**。用户购买的是“秩序感”和“陪伴感”。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全流程用户旅程地图 (Customer Journey Map)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基于患者旅程地图的最佳实践 (24)，我们将 28 天拆解为四个关键阶段。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阶段 0：入组与信任建立 (Day 0)</w:t>
      </w:r>
      <w:bookmarkEnd w:id="1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触点：</w:t>
      </w:r>
      <w:r>
        <w:rPr>
          <w:rFonts w:eastAsia="等线" w:ascii="Arial" w:cs="Arial" w:hAnsi="Arial"/>
          <w:sz w:val="22"/>
        </w:rPr>
        <w:t xml:space="preserve"> ECG 风险提示页 -&gt; ¥99 报告购买页。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关键动作：</w:t>
      </w:r>
      <w:r>
        <w:rPr>
          <w:rFonts w:eastAsia="等线" w:ascii="Arial" w:cs="Arial" w:hAnsi="Arial"/>
          <w:sz w:val="22"/>
        </w:rPr>
        <w:t xml:space="preserve"> 填写“生活方式问卷”。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“生活方式负担雷达图”</w:t>
      </w:r>
      <w:r>
        <w:rPr>
          <w:rFonts w:eastAsia="等线" w:ascii="Arial" w:cs="Arial" w:hAnsi="Arial"/>
          <w:sz w:val="22"/>
        </w:rPr>
        <w:t>。这是一个视觉冲击力极强的图表，将饮食、作息、压力量化展示。它将抽象的“心脏不好”转化为具体的“咖啡喝多了”和“睡晚了”，瞬间降低恐惧，增加掌控感。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阶段 1：认知与止损 (Week 1) - "The Stop-Loss Phase"</w:t>
      </w:r>
      <w:bookmarkEnd w:id="1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快速切断最大的风险源（通常是刺激物或极度熬夜）。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自动化推送：</w:t>
      </w:r>
      <w:r>
        <w:rPr>
          <w:rFonts w:eastAsia="等线" w:ascii="Arial" w:cs="Arial" w:hAnsi="Arial"/>
          <w:sz w:val="22"/>
        </w:rPr>
        <w:t xml:space="preserve"> 每天早上 08:00 推送“今日重点”，下午 14:00 推送“行为提醒”。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营养师介入：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Day 1 首通电话（15-20分钟）：</w:t>
      </w:r>
      <w:r>
        <w:rPr>
          <w:rFonts w:eastAsia="等线" w:ascii="Arial" w:cs="Arial" w:hAnsi="Arial"/>
          <w:sz w:val="22"/>
        </w:rPr>
        <w:t xml:space="preserve"> 核心话术是“我们不谈病，只谈如何让你舒服”。建立人设，确认用户核心诉求。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Day 3 关键节点：</w:t>
      </w:r>
      <w:r>
        <w:rPr>
          <w:rFonts w:eastAsia="等线" w:ascii="Arial" w:cs="Arial" w:hAnsi="Arial"/>
          <w:sz w:val="22"/>
        </w:rPr>
        <w:t xml:space="preserve"> 用户通常在第三天出现戒断反应（如戒咖啡头痛）。系统自动提示营养师发送关怀信息：“今天可能会有些头沉，这是身体在适应低刺激状态，多喝水。”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阶段 2：替代与稳定 (Week 2) - "The Substitution Phase"</w:t>
      </w:r>
      <w:bookmarkEnd w:id="2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建立替代行为，防止反弹。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内容策略：</w:t>
      </w:r>
      <w:r>
        <w:rPr>
          <w:rFonts w:eastAsia="等线" w:ascii="Arial" w:cs="Arial" w:hAnsi="Arial"/>
          <w:sz w:val="22"/>
        </w:rPr>
        <w:t xml:space="preserve"> 如果 Week 1 戒了咖啡，Week 2 引入“补水方案”或“午间小睡”。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交互方式：</w:t>
      </w:r>
      <w:r>
        <w:rPr>
          <w:rFonts w:eastAsia="等线" w:ascii="Arial" w:cs="Arial" w:hAnsi="Arial"/>
          <w:sz w:val="22"/>
        </w:rPr>
        <w:t xml:space="preserve"> 启用**“拍照打卡”** (6)。用户只需上传餐食照片，无需计算卡路里。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营养师介入：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Day 10 反馈：</w:t>
      </w:r>
      <w:r>
        <w:rPr>
          <w:rFonts w:eastAsia="等线" w:ascii="Arial" w:cs="Arial" w:hAnsi="Arial"/>
          <w:sz w:val="22"/>
        </w:rPr>
        <w:t xml:space="preserve"> 针对照片进行非评判性反馈。话术：“看到你晚餐里蔬菜比例增加了，这很棒。如果能把酱汁改为蘸食，钠摄入会更低。”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阶段 3：优化与强化 (Week 3) - "The Optimization Phase"</w:t>
      </w:r>
      <w:bookmarkEnd w:id="2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精细化调整（如钠钾平衡、膳食纤维）。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内容策略：</w:t>
      </w:r>
      <w:r>
        <w:rPr>
          <w:rFonts w:eastAsia="等线" w:ascii="Arial" w:cs="Arial" w:hAnsi="Arial"/>
          <w:sz w:val="22"/>
        </w:rPr>
        <w:t xml:space="preserve"> 引入更专业的营养学概念，如 DASH 饮食（得舒饮食）的简易版。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交互方式：</w:t>
      </w:r>
      <w:r>
        <w:rPr>
          <w:rFonts w:eastAsia="等线" w:ascii="Arial" w:cs="Arial" w:hAnsi="Arial"/>
          <w:sz w:val="22"/>
        </w:rPr>
        <w:t xml:space="preserve"> 增加“自我观察”任务。例如：“吃完这顿高盐餐后，注意观察 1 小时后的心率变化。”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阶段 4：复盘与续费 (Week 4) - "The Bridge Phase"</w:t>
      </w:r>
      <w:bookmarkEnd w:id="2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展示成果，转化为长期订阅。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关键交付物：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“前后对比报告”</w:t>
      </w:r>
      <w:r>
        <w:rPr>
          <w:rFonts w:eastAsia="等线" w:ascii="Arial" w:cs="Arial" w:hAnsi="Arial"/>
          <w:sz w:val="22"/>
        </w:rPr>
        <w:t>。系统自动拉取 Day 0 和 Day 28 的数据对比（如：入睡时间提前了 40 分钟，咖啡因摄入减少了 60%）。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营养师介入：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Day 28 总结通话：</w:t>
      </w:r>
      <w:r>
        <w:rPr>
          <w:rFonts w:eastAsia="等线" w:ascii="Arial" w:cs="Arial" w:hAnsi="Arial"/>
          <w:sz w:val="22"/>
        </w:rPr>
        <w:t xml:space="preserve"> “看到你的睡眠和精力都有改善，这说明生活方式调整有效。下一个阶段，建议我们关注‘抗炎饮食’，进一步降低血管风险。” —— </w:t>
      </w:r>
      <w:r>
        <w:rPr>
          <w:rFonts w:eastAsia="等线" w:ascii="Arial" w:cs="Arial" w:hAnsi="Arial"/>
          <w:b w:val="true"/>
          <w:sz w:val="22"/>
        </w:rPr>
        <w:t>自然顺滑的续费话术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运营基础设施：营养师工作台 (The Operational Dashboard)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为了实现 1:40 甚至更高的服务人效，营养师绝不能使用微信聊天。必须开发专用的后台管理系统（Admin Panel），该系统是“决策支持系统”而非简单的 IM 工具 (27)。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工作台核心功能模块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 2：营养师工作台功能需求表</w:t>
      </w:r>
    </w:p>
    <w:p>
      <w:pPr>
        <w:spacing w:before="120" w:after="120" w:line="288" w:lineRule="auto"/>
        <w:ind w:left="0"/>
      </w:pPr>
      <w:r>
        <w:object>
          <v:shape id="_x0000_i1027" style="width:414pt;height:155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异步服务协议 (SLA)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为了降低人力成本，必须在销售阶段明确**“异步服务”**的本质。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承诺：</w:t>
      </w:r>
      <w:r>
        <w:rPr>
          <w:rFonts w:eastAsia="等线" w:ascii="Arial" w:cs="Arial" w:hAnsi="Arial"/>
          <w:sz w:val="22"/>
        </w:rPr>
        <w:t xml:space="preserve"> “营养师会在工作日 09:00-18:00 期间，每 4 小时查看一次您的日志并回复。”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禁止：</w:t>
      </w:r>
      <w:r>
        <w:rPr>
          <w:rFonts w:eastAsia="等线" w:ascii="Arial" w:cs="Arial" w:hAnsi="Arial"/>
          <w:sz w:val="22"/>
        </w:rPr>
        <w:t xml:space="preserve"> 实时陪聊。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高价值触点：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“周五语音条”</w:t>
      </w:r>
      <w:r>
        <w:rPr>
          <w:rFonts w:eastAsia="等线" w:ascii="Arial" w:cs="Arial" w:hAnsi="Arial"/>
          <w:sz w:val="22"/>
        </w:rPr>
        <w:t>。规定营养师每周五必须发送一条 60 秒的语音总结。语音比文字更有温度，能极大提升用户的“被服务感”，且录制成本极低。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商业化策略与单元经济模型 (Unit Economics)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定价策略：锚定效应与自然升级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 ECG 硬件的高价作为锚点，使生活方式服务的价格显得“超值” (31)。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信任建立品 (¥99)：</w:t>
      </w:r>
      <w:r>
        <w:rPr>
          <w:rFonts w:eastAsia="等线" w:ascii="Arial" w:cs="Arial" w:hAnsi="Arial"/>
          <w:sz w:val="22"/>
        </w:rPr>
        <w:t xml:space="preserve"> 自动化生成的《生活方式负担深度分析报告》。高毛利，用于筛选付费意愿。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主力现金牛 (¥399)：</w:t>
      </w:r>
      <w:r>
        <w:rPr>
          <w:rFonts w:eastAsia="等线" w:ascii="Arial" w:cs="Arial" w:hAnsi="Arial"/>
          <w:sz w:val="22"/>
        </w:rPr>
        <w:t xml:space="preserve"> 28 天基础版（自动化内容 + 每周 1 次人工 Check-in）。这是走量的核心产品。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高溢价锚点 (¥999)：</w:t>
      </w:r>
      <w:r>
        <w:rPr>
          <w:rFonts w:eastAsia="等线" w:ascii="Arial" w:cs="Arial" w:hAnsi="Arial"/>
          <w:sz w:val="22"/>
        </w:rPr>
        <w:t xml:space="preserve"> 28 天 VIP 版（每日人工互动 + 语音通话）。</w:t>
      </w:r>
      <w:r>
        <w:rPr>
          <w:rFonts w:eastAsia="等线" w:ascii="Arial" w:cs="Arial" w:hAnsi="Arial"/>
          <w:b w:val="true"/>
          <w:sz w:val="22"/>
        </w:rPr>
        <w:t>策略：</w:t>
      </w:r>
      <w:r>
        <w:rPr>
          <w:rFonts w:eastAsia="等线" w:ascii="Arial" w:cs="Arial" w:hAnsi="Arial"/>
          <w:sz w:val="22"/>
        </w:rPr>
        <w:t xml:space="preserve"> 故意限量，主要作用是衬托 ¥399 套餐的性价比，同时满足少数高净值焦虑用户。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单元经济模型测算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假设一个营养师小组（Pod）由 1 名资深导师带 4 名执行营养师组成。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收入端：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每名执行营养师服务 50 名活跃用户（得益于自动化系统）。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月营收 = 50 人 * ¥399 = ¥19,950。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成本端 (COGS)：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执行营养师月薪（含社保）：¥8,000。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技术分摊与服务器成本：¥500。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资深导师分摊：¥2,000。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毛利分析：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单人贡献毛利 = ¥19,950 - (¥8,000 + ¥500 + ¥2,000) = </w:t>
      </w:r>
      <w:r>
        <w:rPr>
          <w:rFonts w:eastAsia="等线" w:ascii="Arial" w:cs="Arial" w:hAnsi="Arial"/>
          <w:b w:val="true"/>
          <w:sz w:val="22"/>
        </w:rPr>
        <w:t>¥9,450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毛利率 ≈ 47%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获客成本 (CAC)：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由于流量直接来自 ECG 硬件 App 的风险弹窗，CAC 接近于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>（或仅为内部结算成本）。这使得该模型具有极强的盈利能力。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实施路线图 (Implementation Roadmap)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第一阶段：MVP 验证期 (Week 1-4)</w:t>
      </w:r>
      <w:bookmarkEnd w:id="30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技术：</w:t>
      </w:r>
      <w:r>
        <w:rPr>
          <w:rFonts w:eastAsia="等线" w:ascii="Arial" w:cs="Arial" w:hAnsi="Arial"/>
          <w:sz w:val="22"/>
        </w:rPr>
        <w:t xml:space="preserve"> 搭建基于问卷的标签生成逻辑，使用低代码工具（如飞书多维表格或简单的 H5）跑通流程。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内容：</w:t>
      </w:r>
      <w:r>
        <w:rPr>
          <w:rFonts w:eastAsia="等线" w:ascii="Arial" w:cs="Arial" w:hAnsi="Arial"/>
          <w:sz w:val="22"/>
        </w:rPr>
        <w:t xml:space="preserve"> 手工撰写 3 个核心 Priority 的 28 天内容包。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人员：</w:t>
      </w:r>
      <w:r>
        <w:rPr>
          <w:rFonts w:eastAsia="等线" w:ascii="Arial" w:cs="Arial" w:hAnsi="Arial"/>
          <w:sz w:val="22"/>
        </w:rPr>
        <w:t xml:space="preserve"> 创始人或核心运营亲自下场做“营养师”，验证话术和SLA。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第二阶段：系统化期 (Month 2-3)</w:t>
      </w:r>
      <w:bookmarkEnd w:id="3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技术：</w:t>
      </w:r>
      <w:r>
        <w:rPr>
          <w:rFonts w:eastAsia="等线" w:ascii="Arial" w:cs="Arial" w:hAnsi="Arial"/>
          <w:sz w:val="22"/>
        </w:rPr>
        <w:t xml:space="preserve"> 上线 Node.js 后端与 MongoDB 数据库 (32)，实现标签自动化与内容自动推送。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合规：</w:t>
      </w:r>
      <w:r>
        <w:rPr>
          <w:rFonts w:eastAsia="等线" w:ascii="Arial" w:cs="Arial" w:hAnsi="Arial"/>
          <w:sz w:val="22"/>
        </w:rPr>
        <w:t xml:space="preserve"> 部署“违禁词拦截系统”。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人员：</w:t>
      </w:r>
      <w:r>
        <w:rPr>
          <w:rFonts w:eastAsia="等线" w:ascii="Arial" w:cs="Arial" w:hAnsi="Arial"/>
          <w:sz w:val="22"/>
        </w:rPr>
        <w:t xml:space="preserve"> 招聘首批 3 名营养师，进行合规话术培训。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第三阶段：扩张期 (Month 4+)</w:t>
      </w:r>
      <w:bookmarkEnd w:id="32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商业：</w:t>
      </w:r>
      <w:r>
        <w:rPr>
          <w:rFonts w:eastAsia="等线" w:ascii="Arial" w:cs="Arial" w:hAnsi="Arial"/>
          <w:sz w:val="22"/>
        </w:rPr>
        <w:t xml:space="preserve"> 引入 B2B 企业健康管理版本，向高压行业的企业出售“员工心脏关怀计划”。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数据：</w:t>
      </w:r>
      <w:r>
        <w:rPr>
          <w:rFonts w:eastAsia="等线" w:ascii="Arial" w:cs="Arial" w:hAnsi="Arial"/>
          <w:sz w:val="22"/>
        </w:rPr>
        <w:t xml:space="preserve"> 利用积累的数据训练算法，进一步提高内容推荐的精准度。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结论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CLANES 方案通过精准的**“非医疗”定位**、</w:t>
      </w:r>
      <w:r>
        <w:rPr>
          <w:rFonts w:eastAsia="等线" w:ascii="Arial" w:cs="Arial" w:hAnsi="Arial"/>
          <w:b w:val="true"/>
          <w:sz w:val="22"/>
        </w:rPr>
        <w:t>算法驱动的标签体系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等线" w:ascii="Arial" w:cs="Arial" w:hAnsi="Arial"/>
          <w:b w:val="true"/>
          <w:sz w:val="22"/>
        </w:rPr>
        <w:t>结构化的 28 天服务周期</w:t>
      </w:r>
      <w:r>
        <w:rPr>
          <w:rFonts w:eastAsia="等线" w:ascii="Arial" w:cs="Arial" w:hAnsi="Arial"/>
          <w:sz w:val="22"/>
        </w:rPr>
        <w:t>，成功将“心电风险”这一低频、高焦虑的医疗场景，转化为高频、可控的生活方式消费场景。这不仅规避了高昂的医疗监管成本，更抓住了用户“想做点什么但又不想看病”的心理红利，是一条现金流健康、可复制性极强的商业路径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8041">
    <w:lvl>
      <w:start w:val="1"/>
      <w:numFmt w:val="decimal"/>
      <w:suff w:val="tab"/>
      <w:lvlText w:val="%1."/>
      <w:rPr>
        <w:color w:val="3370ff"/>
      </w:rPr>
    </w:lvl>
  </w:abstractNum>
  <w:abstractNum w:abstractNumId="508042">
    <w:lvl>
      <w:start w:val="2"/>
      <w:numFmt w:val="decimal"/>
      <w:suff w:val="tab"/>
      <w:lvlText w:val="%1."/>
      <w:rPr>
        <w:color w:val="3370ff"/>
      </w:rPr>
    </w:lvl>
  </w:abstractNum>
  <w:abstractNum w:abstractNumId="508043">
    <w:lvl>
      <w:start w:val="3"/>
      <w:numFmt w:val="decimal"/>
      <w:suff w:val="tab"/>
      <w:lvlText w:val="%1."/>
      <w:rPr>
        <w:color w:val="3370ff"/>
      </w:rPr>
    </w:lvl>
  </w:abstractNum>
  <w:abstractNum w:abstractNumId="508044">
    <w:lvl>
      <w:numFmt w:val="bullet"/>
      <w:suff w:val="tab"/>
      <w:lvlText w:val="•"/>
      <w:rPr>
        <w:color w:val="3370ff"/>
      </w:rPr>
    </w:lvl>
  </w:abstractNum>
  <w:abstractNum w:abstractNumId="508045">
    <w:lvl>
      <w:numFmt w:val="bullet"/>
      <w:suff w:val="tab"/>
      <w:lvlText w:val="•"/>
      <w:rPr>
        <w:color w:val="3370ff"/>
      </w:rPr>
    </w:lvl>
  </w:abstractNum>
  <w:abstractNum w:abstractNumId="508046">
    <w:lvl>
      <w:numFmt w:val="bullet"/>
      <w:suff w:val="tab"/>
      <w:lvlText w:val="•"/>
      <w:rPr>
        <w:color w:val="3370ff"/>
      </w:rPr>
    </w:lvl>
  </w:abstractNum>
  <w:abstractNum w:abstractNumId="508047">
    <w:lvl>
      <w:numFmt w:val="bullet"/>
      <w:suff w:val="tab"/>
      <w:lvlText w:val="•"/>
      <w:rPr>
        <w:color w:val="3370ff"/>
      </w:rPr>
    </w:lvl>
  </w:abstractNum>
  <w:abstractNum w:abstractNumId="508048">
    <w:lvl>
      <w:numFmt w:val="bullet"/>
      <w:suff w:val="tab"/>
      <w:lvlText w:val="•"/>
      <w:rPr>
        <w:color w:val="3370ff"/>
      </w:rPr>
    </w:lvl>
  </w:abstractNum>
  <w:abstractNum w:abstractNumId="508049">
    <w:lvl>
      <w:numFmt w:val="bullet"/>
      <w:suff w:val="tab"/>
      <w:lvlText w:val="•"/>
      <w:rPr>
        <w:color w:val="3370ff"/>
      </w:rPr>
    </w:lvl>
  </w:abstractNum>
  <w:abstractNum w:abstractNumId="508050">
    <w:lvl>
      <w:numFmt w:val="bullet"/>
      <w:suff w:val="tab"/>
      <w:lvlText w:val="•"/>
      <w:rPr>
        <w:color w:val="3370ff"/>
      </w:rPr>
    </w:lvl>
  </w:abstractNum>
  <w:abstractNum w:abstractNumId="508051">
    <w:lvl>
      <w:numFmt w:val="bullet"/>
      <w:suff w:val="tab"/>
      <w:lvlText w:val="￮"/>
      <w:rPr>
        <w:color w:val="3370ff"/>
      </w:rPr>
    </w:lvl>
  </w:abstractNum>
  <w:abstractNum w:abstractNumId="508052">
    <w:lvl>
      <w:numFmt w:val="bullet"/>
      <w:suff w:val="tab"/>
      <w:lvlText w:val="￮"/>
      <w:rPr>
        <w:color w:val="3370ff"/>
      </w:rPr>
    </w:lvl>
  </w:abstractNum>
  <w:abstractNum w:abstractNumId="508053">
    <w:lvl>
      <w:numFmt w:val="bullet"/>
      <w:suff w:val="tab"/>
      <w:lvlText w:val="￮"/>
      <w:rPr>
        <w:color w:val="3370ff"/>
      </w:rPr>
    </w:lvl>
  </w:abstractNum>
  <w:abstractNum w:abstractNumId="508054">
    <w:lvl>
      <w:numFmt w:val="bullet"/>
      <w:suff w:val="tab"/>
      <w:lvlText w:val="￮"/>
      <w:rPr>
        <w:color w:val="3370ff"/>
      </w:rPr>
    </w:lvl>
  </w:abstractNum>
  <w:abstractNum w:abstractNumId="508055">
    <w:lvl>
      <w:numFmt w:val="bullet"/>
      <w:suff w:val="tab"/>
      <w:lvlText w:val="•"/>
      <w:rPr>
        <w:color w:val="3370ff"/>
      </w:rPr>
    </w:lvl>
  </w:abstractNum>
  <w:abstractNum w:abstractNumId="508056">
    <w:lvl>
      <w:numFmt w:val="bullet"/>
      <w:suff w:val="tab"/>
      <w:lvlText w:val="￮"/>
      <w:rPr>
        <w:color w:val="3370ff"/>
      </w:rPr>
    </w:lvl>
  </w:abstractNum>
  <w:abstractNum w:abstractNumId="508057">
    <w:lvl>
      <w:numFmt w:val="bullet"/>
      <w:suff w:val="tab"/>
      <w:lvlText w:val="￮"/>
      <w:rPr>
        <w:color w:val="3370ff"/>
      </w:rPr>
    </w:lvl>
  </w:abstractNum>
  <w:abstractNum w:abstractNumId="508058">
    <w:lvl>
      <w:numFmt w:val="bullet"/>
      <w:suff w:val="tab"/>
      <w:lvlText w:val="￮"/>
      <w:rPr>
        <w:color w:val="3370ff"/>
      </w:rPr>
    </w:lvl>
  </w:abstractNum>
  <w:abstractNum w:abstractNumId="508059">
    <w:lvl>
      <w:numFmt w:val="bullet"/>
      <w:suff w:val="tab"/>
      <w:lvlText w:val="￮"/>
      <w:rPr>
        <w:color w:val="3370ff"/>
      </w:rPr>
    </w:lvl>
  </w:abstractNum>
  <w:abstractNum w:abstractNumId="508060">
    <w:lvl>
      <w:numFmt w:val="bullet"/>
      <w:suff w:val="tab"/>
      <w:lvlText w:val="•"/>
      <w:rPr>
        <w:color w:val="3370ff"/>
      </w:rPr>
    </w:lvl>
  </w:abstractNum>
  <w:abstractNum w:abstractNumId="508061">
    <w:lvl>
      <w:numFmt w:val="bullet"/>
      <w:suff w:val="tab"/>
      <w:lvlText w:val="•"/>
      <w:rPr>
        <w:color w:val="3370ff"/>
      </w:rPr>
    </w:lvl>
  </w:abstractNum>
  <w:abstractNum w:abstractNumId="508062">
    <w:lvl>
      <w:numFmt w:val="bullet"/>
      <w:suff w:val="tab"/>
      <w:lvlText w:val="•"/>
      <w:rPr>
        <w:color w:val="3370ff"/>
      </w:rPr>
    </w:lvl>
  </w:abstractNum>
  <w:abstractNum w:abstractNumId="508063">
    <w:lvl>
      <w:numFmt w:val="bullet"/>
      <w:suff w:val="tab"/>
      <w:lvlText w:val="•"/>
      <w:rPr>
        <w:color w:val="3370ff"/>
      </w:rPr>
    </w:lvl>
  </w:abstractNum>
  <w:abstractNum w:abstractNumId="508064">
    <w:lvl>
      <w:numFmt w:val="bullet"/>
      <w:suff w:val="tab"/>
      <w:lvlText w:val="•"/>
      <w:rPr>
        <w:color w:val="3370ff"/>
      </w:rPr>
    </w:lvl>
  </w:abstractNum>
  <w:abstractNum w:abstractNumId="508065">
    <w:lvl>
      <w:numFmt w:val="bullet"/>
      <w:suff w:val="tab"/>
      <w:lvlText w:val="•"/>
      <w:rPr>
        <w:color w:val="3370ff"/>
      </w:rPr>
    </w:lvl>
  </w:abstractNum>
  <w:abstractNum w:abstractNumId="508066">
    <w:lvl>
      <w:numFmt w:val="bullet"/>
      <w:suff w:val="tab"/>
      <w:lvlText w:val="•"/>
      <w:rPr>
        <w:color w:val="3370ff"/>
      </w:rPr>
    </w:lvl>
  </w:abstractNum>
  <w:abstractNum w:abstractNumId="508067">
    <w:lvl>
      <w:numFmt w:val="bullet"/>
      <w:suff w:val="tab"/>
      <w:lvlText w:val="•"/>
      <w:rPr>
        <w:color w:val="3370ff"/>
      </w:rPr>
    </w:lvl>
  </w:abstractNum>
  <w:abstractNum w:abstractNumId="508068">
    <w:lvl>
      <w:numFmt w:val="bullet"/>
      <w:suff w:val="tab"/>
      <w:lvlText w:val="•"/>
      <w:rPr>
        <w:color w:val="3370ff"/>
      </w:rPr>
    </w:lvl>
  </w:abstractNum>
  <w:abstractNum w:abstractNumId="508069">
    <w:lvl>
      <w:numFmt w:val="bullet"/>
      <w:suff w:val="tab"/>
      <w:lvlText w:val="￮"/>
      <w:rPr>
        <w:color w:val="3370ff"/>
      </w:rPr>
    </w:lvl>
  </w:abstractNum>
  <w:abstractNum w:abstractNumId="508070">
    <w:lvl>
      <w:numFmt w:val="bullet"/>
      <w:suff w:val="tab"/>
      <w:lvlText w:val="￮"/>
      <w:rPr>
        <w:color w:val="3370ff"/>
      </w:rPr>
    </w:lvl>
  </w:abstractNum>
  <w:abstractNum w:abstractNumId="508071">
    <w:lvl>
      <w:numFmt w:val="bullet"/>
      <w:suff w:val="tab"/>
      <w:lvlText w:val="•"/>
      <w:rPr>
        <w:color w:val="3370ff"/>
      </w:rPr>
    </w:lvl>
  </w:abstractNum>
  <w:abstractNum w:abstractNumId="508072">
    <w:lvl>
      <w:numFmt w:val="bullet"/>
      <w:suff w:val="tab"/>
      <w:lvlText w:val="•"/>
      <w:rPr>
        <w:color w:val="3370ff"/>
      </w:rPr>
    </w:lvl>
  </w:abstractNum>
  <w:abstractNum w:abstractNumId="508073">
    <w:lvl>
      <w:numFmt w:val="bullet"/>
      <w:suff w:val="tab"/>
      <w:lvlText w:val="•"/>
      <w:rPr>
        <w:color w:val="3370ff"/>
      </w:rPr>
    </w:lvl>
  </w:abstractNum>
  <w:abstractNum w:abstractNumId="508074">
    <w:lvl>
      <w:numFmt w:val="bullet"/>
      <w:suff w:val="tab"/>
      <w:lvlText w:val="•"/>
      <w:rPr>
        <w:color w:val="3370ff"/>
      </w:rPr>
    </w:lvl>
  </w:abstractNum>
  <w:abstractNum w:abstractNumId="508075">
    <w:lvl>
      <w:numFmt w:val="bullet"/>
      <w:suff w:val="tab"/>
      <w:lvlText w:val="￮"/>
      <w:rPr>
        <w:color w:val="3370ff"/>
      </w:rPr>
    </w:lvl>
  </w:abstractNum>
  <w:abstractNum w:abstractNumId="508076">
    <w:lvl>
      <w:numFmt w:val="bullet"/>
      <w:suff w:val="tab"/>
      <w:lvlText w:val="•"/>
      <w:rPr>
        <w:color w:val="3370ff"/>
      </w:rPr>
    </w:lvl>
  </w:abstractNum>
  <w:abstractNum w:abstractNumId="508077">
    <w:lvl>
      <w:numFmt w:val="bullet"/>
      <w:suff w:val="tab"/>
      <w:lvlText w:val="•"/>
      <w:rPr>
        <w:color w:val="3370ff"/>
      </w:rPr>
    </w:lvl>
  </w:abstractNum>
  <w:abstractNum w:abstractNumId="508078">
    <w:lvl>
      <w:numFmt w:val="bullet"/>
      <w:suff w:val="tab"/>
      <w:lvlText w:val="•"/>
      <w:rPr>
        <w:color w:val="3370ff"/>
      </w:rPr>
    </w:lvl>
  </w:abstractNum>
  <w:abstractNum w:abstractNumId="508079">
    <w:lvl>
      <w:numFmt w:val="bullet"/>
      <w:suff w:val="tab"/>
      <w:lvlText w:val="•"/>
      <w:rPr>
        <w:color w:val="3370ff"/>
      </w:rPr>
    </w:lvl>
  </w:abstractNum>
  <w:abstractNum w:abstractNumId="508080">
    <w:lvl>
      <w:numFmt w:val="bullet"/>
      <w:suff w:val="tab"/>
      <w:lvlText w:val="•"/>
      <w:rPr>
        <w:color w:val="3370ff"/>
      </w:rPr>
    </w:lvl>
  </w:abstractNum>
  <w:abstractNum w:abstractNumId="508081">
    <w:lvl>
      <w:numFmt w:val="bullet"/>
      <w:suff w:val="tab"/>
      <w:lvlText w:val="•"/>
      <w:rPr>
        <w:color w:val="3370ff"/>
      </w:rPr>
    </w:lvl>
  </w:abstractNum>
  <w:abstractNum w:abstractNumId="508082">
    <w:lvl>
      <w:numFmt w:val="bullet"/>
      <w:suff w:val="tab"/>
      <w:lvlText w:val="￮"/>
      <w:rPr>
        <w:color w:val="3370ff"/>
      </w:rPr>
    </w:lvl>
  </w:abstractNum>
  <w:abstractNum w:abstractNumId="508083">
    <w:lvl>
      <w:numFmt w:val="bullet"/>
      <w:suff w:val="tab"/>
      <w:lvlText w:val="•"/>
      <w:rPr>
        <w:color w:val="3370ff"/>
      </w:rPr>
    </w:lvl>
  </w:abstractNum>
  <w:abstractNum w:abstractNumId="508084">
    <w:lvl>
      <w:numFmt w:val="bullet"/>
      <w:suff w:val="tab"/>
      <w:lvlText w:val="•"/>
      <w:rPr>
        <w:color w:val="3370ff"/>
      </w:rPr>
    </w:lvl>
  </w:abstractNum>
  <w:abstractNum w:abstractNumId="508085">
    <w:lvl>
      <w:numFmt w:val="bullet"/>
      <w:suff w:val="tab"/>
      <w:lvlText w:val="•"/>
      <w:rPr>
        <w:color w:val="3370ff"/>
      </w:rPr>
    </w:lvl>
  </w:abstractNum>
  <w:abstractNum w:abstractNumId="508086">
    <w:lvl>
      <w:numFmt w:val="bullet"/>
      <w:suff w:val="tab"/>
      <w:lvlText w:val="•"/>
      <w:rPr>
        <w:color w:val="3370ff"/>
      </w:rPr>
    </w:lvl>
  </w:abstractNum>
  <w:abstractNum w:abstractNumId="508087">
    <w:lvl>
      <w:numFmt w:val="bullet"/>
      <w:suff w:val="tab"/>
      <w:lvlText w:val="•"/>
      <w:rPr>
        <w:color w:val="3370ff"/>
      </w:rPr>
    </w:lvl>
  </w:abstractNum>
  <w:abstractNum w:abstractNumId="508088">
    <w:lvl>
      <w:numFmt w:val="bullet"/>
      <w:suff w:val="tab"/>
      <w:lvlText w:val="•"/>
      <w:rPr>
        <w:color w:val="3370ff"/>
      </w:rPr>
    </w:lvl>
  </w:abstractNum>
  <w:abstractNum w:abstractNumId="508089">
    <w:lvl>
      <w:numFmt w:val="bullet"/>
      <w:suff w:val="tab"/>
      <w:lvlText w:val="•"/>
      <w:rPr>
        <w:color w:val="3370ff"/>
      </w:rPr>
    </w:lvl>
  </w:abstractNum>
  <w:abstractNum w:abstractNumId="508090">
    <w:lvl>
      <w:numFmt w:val="bullet"/>
      <w:suff w:val="tab"/>
      <w:lvlText w:val="￮"/>
      <w:rPr>
        <w:color w:val="3370ff"/>
      </w:rPr>
    </w:lvl>
  </w:abstractNum>
  <w:abstractNum w:abstractNumId="508091">
    <w:lvl>
      <w:numFmt w:val="bullet"/>
      <w:suff w:val="tab"/>
      <w:lvlText w:val="￮"/>
      <w:rPr>
        <w:color w:val="3370ff"/>
      </w:rPr>
    </w:lvl>
  </w:abstractNum>
  <w:abstractNum w:abstractNumId="508092">
    <w:lvl>
      <w:numFmt w:val="bullet"/>
      <w:suff w:val="tab"/>
      <w:lvlText w:val="•"/>
      <w:rPr>
        <w:color w:val="3370ff"/>
      </w:rPr>
    </w:lvl>
  </w:abstractNum>
  <w:abstractNum w:abstractNumId="508093">
    <w:lvl>
      <w:numFmt w:val="bullet"/>
      <w:suff w:val="tab"/>
      <w:lvlText w:val="￮"/>
      <w:rPr>
        <w:color w:val="3370ff"/>
      </w:rPr>
    </w:lvl>
  </w:abstractNum>
  <w:abstractNum w:abstractNumId="508094">
    <w:lvl>
      <w:numFmt w:val="bullet"/>
      <w:suff w:val="tab"/>
      <w:lvlText w:val="￮"/>
      <w:rPr>
        <w:color w:val="3370ff"/>
      </w:rPr>
    </w:lvl>
  </w:abstractNum>
  <w:abstractNum w:abstractNumId="508095">
    <w:lvl>
      <w:numFmt w:val="bullet"/>
      <w:suff w:val="tab"/>
      <w:lvlText w:val="￮"/>
      <w:rPr>
        <w:color w:val="3370ff"/>
      </w:rPr>
    </w:lvl>
  </w:abstractNum>
  <w:abstractNum w:abstractNumId="508096">
    <w:lvl>
      <w:numFmt w:val="bullet"/>
      <w:suff w:val="tab"/>
      <w:lvlText w:val="•"/>
      <w:rPr>
        <w:color w:val="3370ff"/>
      </w:rPr>
    </w:lvl>
  </w:abstractNum>
  <w:abstractNum w:abstractNumId="508097">
    <w:lvl>
      <w:numFmt w:val="bullet"/>
      <w:suff w:val="tab"/>
      <w:lvlText w:val="￮"/>
      <w:rPr>
        <w:color w:val="3370ff"/>
      </w:rPr>
    </w:lvl>
  </w:abstractNum>
  <w:abstractNum w:abstractNumId="508098">
    <w:lvl>
      <w:numFmt w:val="bullet"/>
      <w:suff w:val="tab"/>
      <w:lvlText w:val="￮"/>
      <w:rPr>
        <w:color w:val="3370ff"/>
      </w:rPr>
    </w:lvl>
  </w:abstractNum>
  <w:abstractNum w:abstractNumId="508099">
    <w:lvl>
      <w:numFmt w:val="bullet"/>
      <w:suff w:val="tab"/>
      <w:lvlText w:val="•"/>
      <w:rPr>
        <w:color w:val="3370ff"/>
      </w:rPr>
    </w:lvl>
  </w:abstractNum>
  <w:abstractNum w:abstractNumId="508100">
    <w:lvl>
      <w:numFmt w:val="bullet"/>
      <w:suff w:val="tab"/>
      <w:lvlText w:val="￮"/>
      <w:rPr>
        <w:color w:val="3370ff"/>
      </w:rPr>
    </w:lvl>
  </w:abstractNum>
  <w:abstractNum w:abstractNumId="508101">
    <w:lvl>
      <w:numFmt w:val="bullet"/>
      <w:suff w:val="tab"/>
      <w:lvlText w:val="•"/>
      <w:rPr>
        <w:color w:val="3370ff"/>
      </w:rPr>
    </w:lvl>
  </w:abstractNum>
  <w:abstractNum w:abstractNumId="508102">
    <w:lvl>
      <w:numFmt w:val="bullet"/>
      <w:suff w:val="tab"/>
      <w:lvlText w:val="•"/>
      <w:rPr>
        <w:color w:val="3370ff"/>
      </w:rPr>
    </w:lvl>
  </w:abstractNum>
  <w:abstractNum w:abstractNumId="508103">
    <w:lvl>
      <w:numFmt w:val="bullet"/>
      <w:suff w:val="tab"/>
      <w:lvlText w:val="•"/>
      <w:rPr>
        <w:color w:val="3370ff"/>
      </w:rPr>
    </w:lvl>
  </w:abstractNum>
  <w:abstractNum w:abstractNumId="508104">
    <w:lvl>
      <w:numFmt w:val="bullet"/>
      <w:suff w:val="tab"/>
      <w:lvlText w:val="•"/>
      <w:rPr>
        <w:color w:val="3370ff"/>
      </w:rPr>
    </w:lvl>
  </w:abstractNum>
  <w:abstractNum w:abstractNumId="508105">
    <w:lvl>
      <w:numFmt w:val="bullet"/>
      <w:suff w:val="tab"/>
      <w:lvlText w:val="•"/>
      <w:rPr>
        <w:color w:val="3370ff"/>
      </w:rPr>
    </w:lvl>
  </w:abstractNum>
  <w:abstractNum w:abstractNumId="508106">
    <w:lvl>
      <w:numFmt w:val="bullet"/>
      <w:suff w:val="tab"/>
      <w:lvlText w:val="•"/>
      <w:rPr>
        <w:color w:val="3370ff"/>
      </w:rPr>
    </w:lvl>
  </w:abstractNum>
  <w:abstractNum w:abstractNumId="508107">
    <w:lvl>
      <w:numFmt w:val="bullet"/>
      <w:suff w:val="tab"/>
      <w:lvlText w:val="•"/>
      <w:rPr>
        <w:color w:val="3370ff"/>
      </w:rPr>
    </w:lvl>
  </w:abstractNum>
  <w:abstractNum w:abstractNumId="508108">
    <w:lvl>
      <w:numFmt w:val="bullet"/>
      <w:suff w:val="tab"/>
      <w:lvlText w:val="•"/>
      <w:rPr>
        <w:color w:val="3370ff"/>
      </w:rPr>
    </w:lvl>
  </w:abstractNum>
  <w:num w:numId="1">
    <w:abstractNumId w:val="508041"/>
  </w:num>
  <w:num w:numId="2">
    <w:abstractNumId w:val="508042"/>
  </w:num>
  <w:num w:numId="3">
    <w:abstractNumId w:val="508043"/>
  </w:num>
  <w:num w:numId="4">
    <w:abstractNumId w:val="508044"/>
  </w:num>
  <w:num w:numId="5">
    <w:abstractNumId w:val="508045"/>
  </w:num>
  <w:num w:numId="6">
    <w:abstractNumId w:val="508046"/>
  </w:num>
  <w:num w:numId="7">
    <w:abstractNumId w:val="508047"/>
  </w:num>
  <w:num w:numId="8">
    <w:abstractNumId w:val="508048"/>
  </w:num>
  <w:num w:numId="9">
    <w:abstractNumId w:val="508049"/>
  </w:num>
  <w:num w:numId="10">
    <w:abstractNumId w:val="508050"/>
  </w:num>
  <w:num w:numId="11">
    <w:abstractNumId w:val="508051"/>
  </w:num>
  <w:num w:numId="12">
    <w:abstractNumId w:val="508052"/>
  </w:num>
  <w:num w:numId="13">
    <w:abstractNumId w:val="508053"/>
  </w:num>
  <w:num w:numId="14">
    <w:abstractNumId w:val="508054"/>
  </w:num>
  <w:num w:numId="15">
    <w:abstractNumId w:val="508055"/>
  </w:num>
  <w:num w:numId="16">
    <w:abstractNumId w:val="508056"/>
  </w:num>
  <w:num w:numId="17">
    <w:abstractNumId w:val="508057"/>
  </w:num>
  <w:num w:numId="18">
    <w:abstractNumId w:val="508058"/>
  </w:num>
  <w:num w:numId="19">
    <w:abstractNumId w:val="508059"/>
  </w:num>
  <w:num w:numId="20">
    <w:abstractNumId w:val="508060"/>
  </w:num>
  <w:num w:numId="21">
    <w:abstractNumId w:val="508061"/>
  </w:num>
  <w:num w:numId="22">
    <w:abstractNumId w:val="508062"/>
  </w:num>
  <w:num w:numId="23">
    <w:abstractNumId w:val="508063"/>
  </w:num>
  <w:num w:numId="24">
    <w:abstractNumId w:val="508064"/>
  </w:num>
  <w:num w:numId="25">
    <w:abstractNumId w:val="508065"/>
  </w:num>
  <w:num w:numId="26">
    <w:abstractNumId w:val="508066"/>
  </w:num>
  <w:num w:numId="27">
    <w:abstractNumId w:val="508067"/>
  </w:num>
  <w:num w:numId="28">
    <w:abstractNumId w:val="508068"/>
  </w:num>
  <w:num w:numId="29">
    <w:abstractNumId w:val="508069"/>
  </w:num>
  <w:num w:numId="30">
    <w:abstractNumId w:val="508070"/>
  </w:num>
  <w:num w:numId="31">
    <w:abstractNumId w:val="508071"/>
  </w:num>
  <w:num w:numId="32">
    <w:abstractNumId w:val="508072"/>
  </w:num>
  <w:num w:numId="33">
    <w:abstractNumId w:val="508073"/>
  </w:num>
  <w:num w:numId="34">
    <w:abstractNumId w:val="508074"/>
  </w:num>
  <w:num w:numId="35">
    <w:abstractNumId w:val="508075"/>
  </w:num>
  <w:num w:numId="36">
    <w:abstractNumId w:val="508076"/>
  </w:num>
  <w:num w:numId="37">
    <w:abstractNumId w:val="508077"/>
  </w:num>
  <w:num w:numId="38">
    <w:abstractNumId w:val="508078"/>
  </w:num>
  <w:num w:numId="39">
    <w:abstractNumId w:val="508079"/>
  </w:num>
  <w:num w:numId="40">
    <w:abstractNumId w:val="508080"/>
  </w:num>
  <w:num w:numId="41">
    <w:abstractNumId w:val="508081"/>
  </w:num>
  <w:num w:numId="42">
    <w:abstractNumId w:val="508082"/>
  </w:num>
  <w:num w:numId="43">
    <w:abstractNumId w:val="508083"/>
  </w:num>
  <w:num w:numId="44">
    <w:abstractNumId w:val="508084"/>
  </w:num>
  <w:num w:numId="45">
    <w:abstractNumId w:val="508085"/>
  </w:num>
  <w:num w:numId="46">
    <w:abstractNumId w:val="508086"/>
  </w:num>
  <w:num w:numId="47">
    <w:abstractNumId w:val="508087"/>
  </w:num>
  <w:num w:numId="48">
    <w:abstractNumId w:val="508088"/>
  </w:num>
  <w:num w:numId="49">
    <w:abstractNumId w:val="508089"/>
  </w:num>
  <w:num w:numId="50">
    <w:abstractNumId w:val="508090"/>
  </w:num>
  <w:num w:numId="51">
    <w:abstractNumId w:val="508091"/>
  </w:num>
  <w:num w:numId="52">
    <w:abstractNumId w:val="508092"/>
  </w:num>
  <w:num w:numId="53">
    <w:abstractNumId w:val="508093"/>
  </w:num>
  <w:num w:numId="54">
    <w:abstractNumId w:val="508094"/>
  </w:num>
  <w:num w:numId="55">
    <w:abstractNumId w:val="508095"/>
  </w:num>
  <w:num w:numId="56">
    <w:abstractNumId w:val="508096"/>
  </w:num>
  <w:num w:numId="57">
    <w:abstractNumId w:val="508097"/>
  </w:num>
  <w:num w:numId="58">
    <w:abstractNumId w:val="508098"/>
  </w:num>
  <w:num w:numId="59">
    <w:abstractNumId w:val="508099"/>
  </w:num>
  <w:num w:numId="60">
    <w:abstractNumId w:val="508100"/>
  </w:num>
  <w:num w:numId="61">
    <w:abstractNumId w:val="508101"/>
  </w:num>
  <w:num w:numId="62">
    <w:abstractNumId w:val="508102"/>
  </w:num>
  <w:num w:numId="63">
    <w:abstractNumId w:val="508103"/>
  </w:num>
  <w:num w:numId="64">
    <w:abstractNumId w:val="508104"/>
  </w:num>
  <w:num w:numId="65">
    <w:abstractNumId w:val="508105"/>
  </w:num>
  <w:num w:numId="66">
    <w:abstractNumId w:val="508106"/>
  </w:num>
  <w:num w:numId="67">
    <w:abstractNumId w:val="508107"/>
  </w:num>
  <w:num w:numId="68">
    <w:abstractNumId w:val="5081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2025-12-30T10:48:22Z</dcterms:created>
  <dc:creator>Apache POI</dc:creator>
</cp:coreProperties>
</file>