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心盾CardioGuard™ - 心血管风险分层与远程监测平台 PRD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项目概述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 产品背景</w:t>
      </w:r>
      <w:r>
        <w:rPr>
          <w:rFonts w:eastAsia="等线" w:ascii="Arial" w:cs="Arial" w:hAnsi="Arial"/>
          <w:sz w:val="22"/>
        </w:rPr>
        <w:t xml:space="preserve"> 随着心血管疾病负担日益加重，对高危患者（如心肌梗死、心力衰竭患者）的长期、连续管理至关重要。传统随访模式间隔长、数据单一，无法及时捕捉病情恶化迹象。基于多参数可穿戴设备与云平台的远程患者监测方案，能实现早期风险预警和干预，降低再入院率及心脏性猝死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 问题陈述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患者方面：</w:t>
      </w:r>
      <w:r>
        <w:rPr>
          <w:rFonts w:eastAsia="等线" w:ascii="Arial" w:cs="Arial" w:hAnsi="Arial"/>
          <w:sz w:val="22"/>
        </w:rPr>
        <w:t xml:space="preserve"> 院外管理依从性差，症状出现后才就医，往往为时已晚。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医生方面：</w:t>
      </w:r>
      <w:r>
        <w:rPr>
          <w:rFonts w:eastAsia="等线" w:ascii="Arial" w:cs="Arial" w:hAnsi="Arial"/>
          <w:sz w:val="22"/>
        </w:rPr>
        <w:t xml:space="preserve"> 无法获得患者日常连续性的生理数据，仅凭门诊短暂检查，难以进行精准、动态的风险分层。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医疗机构方面：</w:t>
      </w:r>
      <w:r>
        <w:rPr>
          <w:rFonts w:eastAsia="等线" w:ascii="Arial" w:cs="Arial" w:hAnsi="Arial"/>
          <w:sz w:val="22"/>
        </w:rPr>
        <w:t xml:space="preserve"> 急性心血管事件再入院率高，医疗资源紧张，缺乏有效的慢病管理工具以降低总体医疗成本。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1.3 解决方案</w:t>
      </w:r>
      <w:r>
        <w:rPr>
          <w:rFonts w:eastAsia="等线" w:ascii="Arial" w:cs="Arial" w:hAnsi="Arial"/>
          <w:sz w:val="22"/>
        </w:rPr>
        <w:t xml:space="preserve"> 构建“心盾CardioGuard™”平台，通过整合医用级可穿戴设备（采集心电、HRV、心率、血氧、呼吸率、睡眠数据），利用基于医学共识的算法模型进行实时分析与风险分层，为医生提供决策支持，并为患者提供远程干预与教育，实现心血管疾病的闭环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1.4 共识支撑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HRV的核心价值：</w:t>
      </w:r>
      <w:r>
        <w:rPr>
          <w:rFonts w:eastAsia="等线" w:ascii="Arial" w:cs="Arial" w:hAnsi="Arial"/>
          <w:sz w:val="22"/>
        </w:rPr>
        <w:t xml:space="preserve"> HRV是预测心脏性猝死和全因死亡的独立危险因子（文档1、4、6、9）。时域指标（如SDNN、RMSSD）和频域指标（如LF、HF）是有效的评估工具。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远程监测有效性：</w:t>
      </w:r>
      <w:r>
        <w:rPr>
          <w:rFonts w:eastAsia="等线" w:ascii="Arial" w:cs="Arial" w:hAnsi="Arial"/>
          <w:sz w:val="22"/>
        </w:rPr>
        <w:t xml:space="preserve"> 远程患者监测可减少心力衰竭患者再入院率，改善预后（文档14、24）。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39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多参数综合评估：</w:t>
      </w:r>
      <w:r>
        <w:rPr>
          <w:rFonts w:eastAsia="等线" w:ascii="Arial" w:cs="Arial" w:hAnsi="Arial"/>
          <w:sz w:val="22"/>
        </w:rPr>
        <w:t xml:space="preserve"> 综合血压水平、危险因素、靶器官损害等进行危险分层是心血管防治的核心方法（文档3、6、34）。本平台将静态危险因素与动态生理参数相结合。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产品目标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4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功能需求详述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系统架构图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患者层 -&gt; 数据采集层 -&gt; 云平台层 -&gt; 应用层 -&gt; 用户层</w:t>
              <w:br/>
            </w:r>
            <w:r>
              <w:rPr>
                <w:rFonts w:eastAsia="Consolas" w:ascii="Consolas" w:cs="Consolas" w:hAnsi="Consolas"/>
                <w:sz w:val="22"/>
              </w:rPr>
              <w:t>(可穿戴设备) -&gt; (数据传输/存储) -&gt; (数据分析/引擎) -&gt; (Web/App) -&gt; (医生/患者/管理员)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核心功能模块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模块一：多源数据采集与接入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 1.1： 多设备兼容接入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描述：</w:t>
      </w:r>
      <w:r>
        <w:rPr>
          <w:rFonts w:eastAsia="等线" w:ascii="Arial" w:cs="Arial" w:hAnsi="Arial"/>
          <w:sz w:val="22"/>
        </w:rPr>
        <w:t xml:space="preserve"> 平台支持接入多种医用级可穿戴设备。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子功能：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12导联/单导联心电设备：</w:t>
      </w:r>
      <w:r>
        <w:rPr>
          <w:rFonts w:eastAsia="等线" w:ascii="Arial" w:cs="Arial" w:hAnsi="Arial"/>
          <w:sz w:val="22"/>
        </w:rPr>
        <w:t xml:space="preserve"> 支持蓝牙/Wi-Fi传输，可记录24小时动态心电图或患者触发的单导联心电。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医用腕表/手环：</w:t>
      </w:r>
      <w:r>
        <w:rPr>
          <w:rFonts w:eastAsia="等线" w:ascii="Arial" w:cs="Arial" w:hAnsi="Arial"/>
          <w:sz w:val="22"/>
        </w:rPr>
        <w:t xml:space="preserve"> 持续采集PPG心率、血氧饱和度，并基于加速度计估算睡眠阶段和呼吸率。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专业HRV分析仪：</w:t>
      </w:r>
      <w:r>
        <w:rPr>
          <w:rFonts w:eastAsia="等线" w:ascii="Arial" w:cs="Arial" w:hAnsi="Arial"/>
          <w:sz w:val="22"/>
        </w:rPr>
        <w:t xml:space="preserve"> 支持通过特定协议导入长程（24小时）HRV原始数据（R-R间期）。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验收标准：</w:t>
      </w:r>
      <w:r>
        <w:rPr>
          <w:rFonts w:eastAsia="等线" w:ascii="Arial" w:cs="Arial" w:hAnsi="Arial"/>
          <w:sz w:val="22"/>
        </w:rPr>
        <w:t xml:space="preserve"> 成功对接至少3个品牌设备，数据解析准确率&gt;99.9%。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 1.2： 患者主观数据录入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描述：</w:t>
      </w:r>
      <w:r>
        <w:rPr>
          <w:rFonts w:eastAsia="等线" w:ascii="Arial" w:cs="Arial" w:hAnsi="Arial"/>
          <w:sz w:val="22"/>
        </w:rPr>
        <w:t xml:space="preserve"> 患者可通过App补充主观信息，形成完整健康画像。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子功能：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每日症状日记：</w:t>
      </w:r>
      <w:r>
        <w:rPr>
          <w:rFonts w:eastAsia="等线" w:ascii="Arial" w:cs="Arial" w:hAnsi="Arial"/>
          <w:sz w:val="22"/>
        </w:rPr>
        <w:t xml:space="preserve"> 胸痛、胸闷、气短、头晕、水肿等症状的等级记录。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用药依从性记录：</w:t>
      </w:r>
      <w:r>
        <w:rPr>
          <w:rFonts w:eastAsia="等线" w:ascii="Arial" w:cs="Arial" w:hAnsi="Arial"/>
          <w:sz w:val="22"/>
        </w:rPr>
        <w:t xml:space="preserve"> 记录服药时间、是否漏服。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体重与血压手动录入：</w:t>
      </w:r>
      <w:r>
        <w:rPr>
          <w:rFonts w:eastAsia="等线" w:ascii="Arial" w:cs="Arial" w:hAnsi="Arial"/>
          <w:sz w:val="22"/>
        </w:rPr>
        <w:t xml:space="preserve"> 支持手动输入或连接智能血压计。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验收标准：</w:t>
      </w:r>
      <w:r>
        <w:rPr>
          <w:rFonts w:eastAsia="等线" w:ascii="Arial" w:cs="Arial" w:hAnsi="Arial"/>
          <w:sz w:val="22"/>
        </w:rPr>
        <w:t xml:space="preserve"> 支持自定义症状模板，数据表单提交成功率达100%。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模块二：智能分析与风险分层引擎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 2.1： HRV深度分析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描述：</w:t>
      </w:r>
      <w:r>
        <w:rPr>
          <w:rFonts w:eastAsia="等线" w:ascii="Arial" w:cs="Arial" w:hAnsi="Arial"/>
          <w:sz w:val="22"/>
        </w:rPr>
        <w:t xml:space="preserve"> 核心分析模块，基于24小时动态数据或夜间睡眠数据。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子功能：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时域分析：</w:t>
      </w:r>
      <w:r>
        <w:rPr>
          <w:rFonts w:eastAsia="等线" w:ascii="Arial" w:cs="Arial" w:hAnsi="Arial"/>
          <w:sz w:val="22"/>
        </w:rPr>
        <w:t xml:space="preserve"> 自动计算SDNN, SDANN, RMSSD, PNN50等指标。当SDNN&lt;50ms时，系统自动标记为高风险（共识支撑：文档1、4）。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频域分析：</w:t>
      </w:r>
      <w:r>
        <w:rPr>
          <w:rFonts w:eastAsia="等线" w:ascii="Arial" w:cs="Arial" w:hAnsi="Arial"/>
          <w:sz w:val="22"/>
        </w:rPr>
        <w:t xml:space="preserve"> 计算LF、HF功率及LF/HF比率，评估交感/迷走神经平衡。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18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趋势分析：</w:t>
      </w:r>
      <w:r>
        <w:rPr>
          <w:rFonts w:eastAsia="等线" w:ascii="Arial" w:cs="Arial" w:hAnsi="Arial"/>
          <w:sz w:val="22"/>
        </w:rPr>
        <w:t xml:space="preserve"> 展示HRV指标的7天、30天变化趋势，识别持续恶化。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验收标准：</w:t>
      </w:r>
      <w:r>
        <w:rPr>
          <w:rFonts w:eastAsia="等线" w:ascii="Arial" w:cs="Arial" w:hAnsi="Arial"/>
          <w:sz w:val="22"/>
        </w:rPr>
        <w:t xml:space="preserve"> 分析结果与专业Holter分析软件的一致性达到95%以上。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 2.2： 心律失常自动检测与分类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描述：</w:t>
      </w:r>
      <w:r>
        <w:rPr>
          <w:rFonts w:eastAsia="等线" w:ascii="Arial" w:cs="Arial" w:hAnsi="Arial"/>
          <w:sz w:val="22"/>
        </w:rPr>
        <w:t xml:space="preserve"> 对心电数据进行分析，识别关键事件。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子功能：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房颤/房扑检测：</w:t>
      </w:r>
      <w:r>
        <w:rPr>
          <w:rFonts w:eastAsia="等线" w:ascii="Arial" w:cs="Arial" w:hAnsi="Arial"/>
          <w:sz w:val="22"/>
        </w:rPr>
        <w:t xml:space="preserve"> 自动识别并标记时长。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室性早搏/室速分析：</w:t>
      </w:r>
      <w:r>
        <w:rPr>
          <w:rFonts w:eastAsia="等线" w:ascii="Arial" w:cs="Arial" w:hAnsi="Arial"/>
          <w:sz w:val="22"/>
        </w:rPr>
        <w:t xml:space="preserve"> 计算每小时室早负荷，对非持续性室速进行警报。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ST-T段改变分析：</w:t>
      </w:r>
      <w:r>
        <w:rPr>
          <w:rFonts w:eastAsia="等线" w:ascii="Arial" w:cs="Arial" w:hAnsi="Arial"/>
          <w:sz w:val="22"/>
        </w:rPr>
        <w:t xml:space="preserve"> 监测有无心肌缺血迹象。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验收标准：</w:t>
      </w:r>
      <w:r>
        <w:rPr>
          <w:rFonts w:eastAsia="等线" w:ascii="Arial" w:cs="Arial" w:hAnsi="Arial"/>
          <w:sz w:val="22"/>
        </w:rPr>
        <w:t xml:space="preserve"> 对房颤事件的检测灵敏度&gt;97%，特异性&gt;99%。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 2.3： 多参数融合风险评分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描述：</w:t>
      </w:r>
      <w:r>
        <w:rPr>
          <w:rFonts w:eastAsia="等线" w:ascii="Arial" w:cs="Arial" w:hAnsi="Arial"/>
          <w:sz w:val="22"/>
        </w:rPr>
        <w:t xml:space="preserve"> 综合静态信息与动态数据，生成综合风险分层。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子功能：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静态基线评估：</w:t>
      </w:r>
      <w:r>
        <w:rPr>
          <w:rFonts w:eastAsia="等线" w:ascii="Arial" w:cs="Arial" w:hAnsi="Arial"/>
          <w:sz w:val="22"/>
        </w:rPr>
        <w:t xml:space="preserve"> 集成电子病历数据，根据共识（如文档34表3）进行初步分层（低危、中危、高危、很高危）。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动态风险调整：</w:t>
      </w:r>
      <w:r>
        <w:rPr>
          <w:rFonts w:eastAsia="等线" w:ascii="Arial" w:cs="Arial" w:hAnsi="Arial"/>
          <w:sz w:val="22"/>
        </w:rPr>
        <w:t xml:space="preserve"> 算法模型根据连续监测数据（如HRV骤降、夜间血氧持续降低、呼吸率增快）动态调整风险等级。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风险可视化：</w:t>
      </w:r>
      <w:r>
        <w:rPr>
          <w:rFonts w:eastAsia="等线" w:ascii="Arial" w:cs="Arial" w:hAnsi="Arial"/>
          <w:sz w:val="22"/>
        </w:rPr>
        <w:t xml:space="preserve"> 在医生工作台以“红、黄、绿”三色码清晰展示患者当前风险状态。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验收标准：</w:t>
      </w:r>
      <w:r>
        <w:rPr>
          <w:rFonts w:eastAsia="等线" w:ascii="Arial" w:cs="Arial" w:hAnsi="Arial"/>
          <w:sz w:val="22"/>
        </w:rPr>
        <w:t xml:space="preserve"> 风险预警的阳性预测值需在临床验证中达到显著水平。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模块三：医生临床决策支持工作台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 3.1： 患者全景仪表盘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描述：</w:t>
      </w:r>
      <w:r>
        <w:rPr>
          <w:rFonts w:eastAsia="等线" w:ascii="Arial" w:cs="Arial" w:hAnsi="Arial"/>
          <w:sz w:val="22"/>
        </w:rPr>
        <w:t xml:space="preserve"> 医生登录后概览所有管理患者的状态。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子功能：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异常列表：</w:t>
      </w:r>
      <w:r>
        <w:rPr>
          <w:rFonts w:eastAsia="等线" w:ascii="Arial" w:cs="Arial" w:hAnsi="Arial"/>
          <w:sz w:val="22"/>
        </w:rPr>
        <w:t xml:space="preserve"> 优先显示近期有高风险警报或数据异常的患者列表。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关键指标一览：</w:t>
      </w:r>
      <w:r>
        <w:rPr>
          <w:rFonts w:eastAsia="等线" w:ascii="Arial" w:cs="Arial" w:hAnsi="Arial"/>
          <w:sz w:val="22"/>
        </w:rPr>
        <w:t xml:space="preserve"> 快速查看每位患者的最新HRV、平均心率、最差血氧等数据。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工作量统计：</w:t>
      </w:r>
      <w:r>
        <w:rPr>
          <w:rFonts w:eastAsia="等线" w:ascii="Arial" w:cs="Arial" w:hAnsi="Arial"/>
          <w:sz w:val="22"/>
        </w:rPr>
        <w:t xml:space="preserve"> 显示待处理警报、待回复咨询的数量。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验收标准：</w:t>
      </w:r>
      <w:r>
        <w:rPr>
          <w:rFonts w:eastAsia="等线" w:ascii="Arial" w:cs="Arial" w:hAnsi="Arial"/>
          <w:sz w:val="22"/>
        </w:rPr>
        <w:t xml:space="preserve"> 医生能在10秒内定位到最高危的患者。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 3.2： 患者详情页与趋势洞察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描述：</w:t>
      </w:r>
      <w:r>
        <w:rPr>
          <w:rFonts w:eastAsia="等线" w:ascii="Arial" w:cs="Arial" w:hAnsi="Arial"/>
          <w:sz w:val="22"/>
        </w:rPr>
        <w:t xml:space="preserve"> 深入查看单个患者的全面数据。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子功能：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指标趋势对比：</w:t>
      </w:r>
      <w:r>
        <w:rPr>
          <w:rFonts w:eastAsia="等线" w:ascii="Arial" w:cs="Arial" w:hAnsi="Arial"/>
          <w:sz w:val="22"/>
        </w:rPr>
        <w:t xml:space="preserve"> 可并排查看HRV、心率、睡眠质量随时间的变化曲线，分析其相关性。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事件时间轴：</w:t>
      </w:r>
      <w:r>
        <w:rPr>
          <w:rFonts w:eastAsia="等线" w:ascii="Arial" w:cs="Arial" w:hAnsi="Arial"/>
          <w:sz w:val="22"/>
        </w:rPr>
        <w:t xml:space="preserve"> 将心律失常事件、症状记录、用药变化等标记在时间轴上，便于因果分析。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自动生成随访报告：</w:t>
      </w:r>
      <w:r>
        <w:rPr>
          <w:rFonts w:eastAsia="等线" w:ascii="Arial" w:cs="Arial" w:hAnsi="Arial"/>
          <w:sz w:val="22"/>
        </w:rPr>
        <w:t xml:space="preserve"> 一键生成包含数据摘要、趋势分析和建议的随访报告，支持导出PDF。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验收标准：</w:t>
      </w:r>
      <w:r>
        <w:rPr>
          <w:rFonts w:eastAsia="等线" w:ascii="Arial" w:cs="Arial" w:hAnsi="Arial"/>
          <w:sz w:val="22"/>
        </w:rPr>
        <w:t xml:space="preserve"> 报告生成时间低于30秒。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 3.3： 智能预警与干预系统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描述：</w:t>
      </w:r>
      <w:r>
        <w:rPr>
          <w:rFonts w:eastAsia="等线" w:ascii="Arial" w:cs="Arial" w:hAnsi="Arial"/>
          <w:sz w:val="22"/>
        </w:rPr>
        <w:t xml:space="preserve"> 系统主动推送风险信息，并支持快速干预。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子功能：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多级警报机制：</w:t>
      </w:r>
    </w:p>
    <w:p>
      <w:pPr>
        <w:numPr>
          <w:numId w:val="6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一级警报（红色，短信/电话）：</w:t>
      </w:r>
      <w:r>
        <w:rPr>
          <w:rFonts w:eastAsia="等线" w:ascii="Arial" w:cs="Arial" w:hAnsi="Arial"/>
          <w:sz w:val="22"/>
        </w:rPr>
        <w:t xml:space="preserve"> 发现严重室速、长时间心脏停搏、SDNN持续极低（&lt;30ms）。</w:t>
      </w:r>
    </w:p>
    <w:p>
      <w:pPr>
        <w:numPr>
          <w:numId w:val="6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二级警报（黄色，App推送）：</w:t>
      </w:r>
      <w:r>
        <w:rPr>
          <w:rFonts w:eastAsia="等线" w:ascii="Arial" w:cs="Arial" w:hAnsi="Arial"/>
          <w:sz w:val="22"/>
        </w:rPr>
        <w:t xml:space="preserve"> 发现房颤发作、中度HRV降低、夜间低血氧。</w:t>
      </w:r>
    </w:p>
    <w:p>
      <w:pPr>
        <w:numPr>
          <w:numId w:val="6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提示信息（蓝色，站内信）：</w:t>
      </w:r>
      <w:r>
        <w:rPr>
          <w:rFonts w:eastAsia="等线" w:ascii="Arial" w:cs="Arial" w:hAnsi="Arial"/>
          <w:sz w:val="22"/>
        </w:rPr>
        <w:t xml:space="preserve"> 用药依从性差、数据缺失等。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远程干预工具：</w:t>
      </w:r>
      <w:r>
        <w:rPr>
          <w:rFonts w:eastAsia="等线" w:ascii="Arial" w:cs="Arial" w:hAnsi="Arial"/>
          <w:sz w:val="22"/>
        </w:rPr>
        <w:t xml:space="preserve"> 集成语音、视频通话功能；可发送标准化健康教育内容或个性化运动/用药建议。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验收标准：</w:t>
      </w:r>
      <w:r>
        <w:rPr>
          <w:rFonts w:eastAsia="等线" w:ascii="Arial" w:cs="Arial" w:hAnsi="Arial"/>
          <w:sz w:val="22"/>
        </w:rPr>
        <w:t xml:space="preserve"> 一级警报从触发到送达医生时间低于3分钟。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模块四：患者端互动与管理App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 4.1： 数据可视化与健康解读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描述：</w:t>
      </w:r>
      <w:r>
        <w:rPr>
          <w:rFonts w:eastAsia="等线" w:ascii="Arial" w:cs="Arial" w:hAnsi="Arial"/>
          <w:sz w:val="22"/>
        </w:rPr>
        <w:t xml:space="preserve"> 让患者直观理解自身健康状况。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子功能：</w:t>
      </w:r>
    </w:p>
    <w:p>
      <w:pPr>
        <w:numPr>
          <w:numId w:val="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简易健康指数：</w:t>
      </w:r>
      <w:r>
        <w:rPr>
          <w:rFonts w:eastAsia="等线" w:ascii="Arial" w:cs="Arial" w:hAnsi="Arial"/>
          <w:sz w:val="22"/>
        </w:rPr>
        <w:t xml:space="preserve"> 将复杂数据转化为通俗易懂的分数（如“心脏活力指数”）。</w:t>
      </w:r>
    </w:p>
    <w:p>
      <w:pPr>
        <w:numPr>
          <w:numId w:val="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睡眠报告：</w:t>
      </w:r>
      <w:r>
        <w:rPr>
          <w:rFonts w:eastAsia="等线" w:ascii="Arial" w:cs="Arial" w:hAnsi="Arial"/>
          <w:sz w:val="22"/>
        </w:rPr>
        <w:t xml:space="preserve"> 展示睡眠时长、深睡比例、血氧变化。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正向反馈：</w:t>
      </w:r>
      <w:r>
        <w:rPr>
          <w:rFonts w:eastAsia="等线" w:ascii="Arial" w:cs="Arial" w:hAnsi="Arial"/>
          <w:sz w:val="22"/>
        </w:rPr>
        <w:t xml:space="preserve"> 当HRV趋势向好时，给予鼓励性提示。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验收标准：</w:t>
      </w:r>
      <w:r>
        <w:rPr>
          <w:rFonts w:eastAsia="等线" w:ascii="Arial" w:cs="Arial" w:hAnsi="Arial"/>
          <w:sz w:val="22"/>
        </w:rPr>
        <w:t xml:space="preserve"> 界面设计需通过老年群体可用性测试。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 4.2： 医患沟通与任务提醒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描述：</w:t>
      </w:r>
      <w:r>
        <w:rPr>
          <w:rFonts w:eastAsia="等线" w:ascii="Arial" w:cs="Arial" w:hAnsi="Arial"/>
          <w:sz w:val="22"/>
        </w:rPr>
        <w:t xml:space="preserve"> 促进患者依从性。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子功能：</w:t>
      </w:r>
    </w:p>
    <w:p>
      <w:pPr>
        <w:numPr>
          <w:numId w:val="7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消息中心：</w:t>
      </w:r>
      <w:r>
        <w:rPr>
          <w:rFonts w:eastAsia="等线" w:ascii="Arial" w:cs="Arial" w:hAnsi="Arial"/>
          <w:sz w:val="22"/>
        </w:rPr>
        <w:t xml:space="preserve"> 接收医生的文字、语音留言或健康建议。</w:t>
      </w:r>
    </w:p>
    <w:p>
      <w:pPr>
        <w:numPr>
          <w:numId w:val="8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智能提醒：</w:t>
      </w:r>
      <w:r>
        <w:rPr>
          <w:rFonts w:eastAsia="等线" w:ascii="Arial" w:cs="Arial" w:hAnsi="Arial"/>
          <w:sz w:val="22"/>
        </w:rPr>
        <w:t xml:space="preserve"> 服药提醒、测量提醒、复诊提醒。</w:t>
      </w:r>
    </w:p>
    <w:p>
      <w:pPr>
        <w:numPr>
          <w:numId w:val="8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一键求助：</w:t>
      </w:r>
      <w:r>
        <w:rPr>
          <w:rFonts w:eastAsia="等线" w:ascii="Arial" w:cs="Arial" w:hAnsi="Arial"/>
          <w:sz w:val="22"/>
        </w:rPr>
        <w:t xml:space="preserve"> 在感到不适时，快速向医生团队发送求助信号和当前生理数据。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验收标准：</w:t>
      </w:r>
      <w:r>
        <w:rPr>
          <w:rFonts w:eastAsia="等线" w:ascii="Arial" w:cs="Arial" w:hAnsi="Arial"/>
          <w:sz w:val="22"/>
        </w:rPr>
        <w:t xml:space="preserve"> 消息推送到达率100%。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非功能性需求</w:t>
      </w:r>
      <w:bookmarkEnd w:id="3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性能：</w:t>
      </w:r>
      <w:r>
        <w:rPr>
          <w:rFonts w:eastAsia="等线" w:ascii="Arial" w:cs="Arial" w:hAnsi="Arial"/>
          <w:sz w:val="22"/>
        </w:rPr>
        <w:t xml:space="preserve"> 平台支持万级用户并发，关键查询响应时间&lt;2秒。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安全与合规：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数据加密：</w:t>
      </w:r>
      <w:r>
        <w:rPr>
          <w:rFonts w:eastAsia="等线" w:ascii="Arial" w:cs="Arial" w:hAnsi="Arial"/>
          <w:sz w:val="22"/>
        </w:rPr>
        <w:t xml:space="preserve"> 数据传输（TLS 1.3）和存储均加密，符合HIPAA/GDPR及中国《个人信息保护法》。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隐私保护：</w:t>
      </w:r>
      <w:r>
        <w:rPr>
          <w:rFonts w:eastAsia="等线" w:ascii="Arial" w:cs="Arial" w:hAnsi="Arial"/>
          <w:sz w:val="22"/>
        </w:rPr>
        <w:t xml:space="preserve"> 患者数据脱敏处理，访问权限严格控制。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医疗合规：</w:t>
      </w:r>
      <w:r>
        <w:rPr>
          <w:rFonts w:eastAsia="等线" w:ascii="Arial" w:cs="Arial" w:hAnsi="Arial"/>
          <w:sz w:val="22"/>
        </w:rPr>
        <w:t xml:space="preserve"> 核心算法模型需进行临床试验验证，并申请二类医疗器械软件认证。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可靠性：</w:t>
      </w:r>
      <w:r>
        <w:rPr>
          <w:rFonts w:eastAsia="等线" w:ascii="Arial" w:cs="Arial" w:hAnsi="Arial"/>
          <w:sz w:val="22"/>
        </w:rPr>
        <w:t xml:space="preserve"> 系统全年无故障运行时间不低于99.9%。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可用性：</w:t>
      </w:r>
      <w:r>
        <w:rPr>
          <w:rFonts w:eastAsia="等线" w:ascii="Arial" w:cs="Arial" w:hAnsi="Arial"/>
          <w:sz w:val="22"/>
        </w:rPr>
        <w:t xml:space="preserve"> 医生端界面设计符合医疗工作流程，患者端App充分考虑老年人使用习惯（大字体、语音辅助）。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未来迭代规划</w:t>
      </w:r>
      <w:bookmarkEnd w:id="4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2：</w:t>
      </w:r>
      <w:r>
        <w:rPr>
          <w:rFonts w:eastAsia="等线" w:ascii="Arial" w:cs="Arial" w:hAnsi="Arial"/>
          <w:sz w:val="22"/>
        </w:rPr>
        <w:t xml:space="preserve"> 集成AI预测模型，预测未来30天内心衰急性加重风险。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3：</w:t>
      </w:r>
      <w:r>
        <w:rPr>
          <w:rFonts w:eastAsia="等线" w:ascii="Arial" w:cs="Arial" w:hAnsi="Arial"/>
          <w:sz w:val="22"/>
        </w:rPr>
        <w:t xml:space="preserve"> 对接医院HIS/LIS系统，实现数据自动拉取。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4：</w:t>
      </w:r>
      <w:r>
        <w:rPr>
          <w:rFonts w:eastAsia="等线" w:ascii="Arial" w:cs="Arial" w:hAnsi="Arial"/>
          <w:sz w:val="22"/>
        </w:rPr>
        <w:t xml:space="preserve"> 拓展至高血压、糖尿病等更广泛的人群的慢病管理。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这份PRD将共识知识深度融入产品功能设计，确保了产品的临床有效性和技术可行性，为后续的开发与商业推广奠定了坚实基础。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23344">
    <w:lvl>
      <w:numFmt w:val="bullet"/>
      <w:suff w:val="tab"/>
      <w:lvlText w:val="•"/>
      <w:rPr>
        <w:color w:val="3370ff"/>
      </w:rPr>
    </w:lvl>
  </w:abstractNum>
  <w:abstractNum w:abstractNumId="423345">
    <w:lvl>
      <w:numFmt w:val="bullet"/>
      <w:suff w:val="tab"/>
      <w:lvlText w:val="•"/>
      <w:rPr>
        <w:color w:val="3370ff"/>
      </w:rPr>
    </w:lvl>
  </w:abstractNum>
  <w:abstractNum w:abstractNumId="423346">
    <w:lvl>
      <w:numFmt w:val="bullet"/>
      <w:suff w:val="tab"/>
      <w:lvlText w:val="•"/>
      <w:rPr>
        <w:color w:val="3370ff"/>
      </w:rPr>
    </w:lvl>
  </w:abstractNum>
  <w:abstractNum w:abstractNumId="423347">
    <w:lvl>
      <w:numFmt w:val="bullet"/>
      <w:suff w:val="tab"/>
      <w:lvlText w:val="•"/>
      <w:rPr>
        <w:color w:val="3370ff"/>
      </w:rPr>
    </w:lvl>
  </w:abstractNum>
  <w:abstractNum w:abstractNumId="423348">
    <w:lvl>
      <w:numFmt w:val="bullet"/>
      <w:suff w:val="tab"/>
      <w:lvlText w:val="•"/>
      <w:rPr>
        <w:color w:val="3370ff"/>
      </w:rPr>
    </w:lvl>
  </w:abstractNum>
  <w:abstractNum w:abstractNumId="423349">
    <w:lvl>
      <w:numFmt w:val="bullet"/>
      <w:suff w:val="tab"/>
      <w:lvlText w:val="•"/>
      <w:rPr>
        <w:color w:val="3370ff"/>
      </w:rPr>
    </w:lvl>
  </w:abstractNum>
  <w:abstractNum w:abstractNumId="423350">
    <w:lvl>
      <w:numFmt w:val="bullet"/>
      <w:suff w:val="tab"/>
      <w:lvlText w:val="•"/>
      <w:rPr>
        <w:color w:val="3370ff"/>
      </w:rPr>
    </w:lvl>
  </w:abstractNum>
  <w:abstractNum w:abstractNumId="423351">
    <w:lvl>
      <w:numFmt w:val="bullet"/>
      <w:suff w:val="tab"/>
      <w:lvlText w:val="•"/>
      <w:rPr>
        <w:color w:val="3370ff"/>
      </w:rPr>
    </w:lvl>
  </w:abstractNum>
  <w:abstractNum w:abstractNumId="423352">
    <w:lvl>
      <w:numFmt w:val="bullet"/>
      <w:suff w:val="tab"/>
      <w:lvlText w:val="•"/>
      <w:rPr>
        <w:color w:val="3370ff"/>
      </w:rPr>
    </w:lvl>
  </w:abstractNum>
  <w:abstractNum w:abstractNumId="423353">
    <w:lvl>
      <w:numFmt w:val="bullet"/>
      <w:suff w:val="tab"/>
      <w:lvlText w:val="•"/>
      <w:rPr>
        <w:color w:val="3370ff"/>
      </w:rPr>
    </w:lvl>
  </w:abstractNum>
  <w:abstractNum w:abstractNumId="423354">
    <w:lvl>
      <w:numFmt w:val="bullet"/>
      <w:suff w:val="tab"/>
      <w:lvlText w:val="￮"/>
      <w:rPr>
        <w:color w:val="3370ff"/>
      </w:rPr>
    </w:lvl>
  </w:abstractNum>
  <w:abstractNum w:abstractNumId="423355">
    <w:lvl>
      <w:numFmt w:val="bullet"/>
      <w:suff w:val="tab"/>
      <w:lvlText w:val="￮"/>
      <w:rPr>
        <w:color w:val="3370ff"/>
      </w:rPr>
    </w:lvl>
  </w:abstractNum>
  <w:abstractNum w:abstractNumId="423356">
    <w:lvl>
      <w:numFmt w:val="bullet"/>
      <w:suff w:val="tab"/>
      <w:lvlText w:val="▪"/>
      <w:rPr>
        <w:color w:val="3370ff"/>
        <w:sz w:val="11"/>
      </w:rPr>
    </w:lvl>
  </w:abstractNum>
  <w:abstractNum w:abstractNumId="423357">
    <w:lvl>
      <w:numFmt w:val="bullet"/>
      <w:suff w:val="tab"/>
      <w:lvlText w:val="▪"/>
      <w:rPr>
        <w:color w:val="3370ff"/>
        <w:sz w:val="11"/>
      </w:rPr>
    </w:lvl>
  </w:abstractNum>
  <w:abstractNum w:abstractNumId="423358">
    <w:lvl>
      <w:numFmt w:val="bullet"/>
      <w:suff w:val="tab"/>
      <w:lvlText w:val="▪"/>
      <w:rPr>
        <w:color w:val="3370ff"/>
        <w:sz w:val="11"/>
      </w:rPr>
    </w:lvl>
  </w:abstractNum>
  <w:abstractNum w:abstractNumId="423359">
    <w:lvl>
      <w:numFmt w:val="bullet"/>
      <w:suff w:val="tab"/>
      <w:lvlText w:val="￮"/>
      <w:rPr>
        <w:color w:val="3370ff"/>
      </w:rPr>
    </w:lvl>
  </w:abstractNum>
  <w:abstractNum w:abstractNumId="423360">
    <w:lvl>
      <w:numFmt w:val="bullet"/>
      <w:suff w:val="tab"/>
      <w:lvlText w:val="•"/>
      <w:rPr>
        <w:color w:val="3370ff"/>
      </w:rPr>
    </w:lvl>
  </w:abstractNum>
  <w:abstractNum w:abstractNumId="423361">
    <w:lvl>
      <w:numFmt w:val="bullet"/>
      <w:suff w:val="tab"/>
      <w:lvlText w:val="￮"/>
      <w:rPr>
        <w:color w:val="3370ff"/>
      </w:rPr>
    </w:lvl>
  </w:abstractNum>
  <w:abstractNum w:abstractNumId="423362">
    <w:lvl>
      <w:numFmt w:val="bullet"/>
      <w:suff w:val="tab"/>
      <w:lvlText w:val="￮"/>
      <w:rPr>
        <w:color w:val="3370ff"/>
      </w:rPr>
    </w:lvl>
  </w:abstractNum>
  <w:abstractNum w:abstractNumId="423363">
    <w:lvl>
      <w:numFmt w:val="bullet"/>
      <w:suff w:val="tab"/>
      <w:lvlText w:val="▪"/>
      <w:rPr>
        <w:color w:val="3370ff"/>
        <w:sz w:val="11"/>
      </w:rPr>
    </w:lvl>
  </w:abstractNum>
  <w:abstractNum w:abstractNumId="423364">
    <w:lvl>
      <w:numFmt w:val="bullet"/>
      <w:suff w:val="tab"/>
      <w:lvlText w:val="▪"/>
      <w:rPr>
        <w:color w:val="3370ff"/>
        <w:sz w:val="11"/>
      </w:rPr>
    </w:lvl>
  </w:abstractNum>
  <w:abstractNum w:abstractNumId="423365">
    <w:lvl>
      <w:numFmt w:val="bullet"/>
      <w:suff w:val="tab"/>
      <w:lvlText w:val="▪"/>
      <w:rPr>
        <w:color w:val="3370ff"/>
        <w:sz w:val="11"/>
      </w:rPr>
    </w:lvl>
  </w:abstractNum>
  <w:abstractNum w:abstractNumId="423366">
    <w:lvl>
      <w:numFmt w:val="bullet"/>
      <w:suff w:val="tab"/>
      <w:lvlText w:val="￮"/>
      <w:rPr>
        <w:color w:val="3370ff"/>
      </w:rPr>
    </w:lvl>
  </w:abstractNum>
  <w:abstractNum w:abstractNumId="423367">
    <w:lvl>
      <w:numFmt w:val="bullet"/>
      <w:suff w:val="tab"/>
      <w:lvlText w:val="•"/>
      <w:rPr>
        <w:color w:val="3370ff"/>
      </w:rPr>
    </w:lvl>
  </w:abstractNum>
  <w:abstractNum w:abstractNumId="423368">
    <w:lvl>
      <w:numFmt w:val="bullet"/>
      <w:suff w:val="tab"/>
      <w:lvlText w:val="￮"/>
      <w:rPr>
        <w:color w:val="3370ff"/>
      </w:rPr>
    </w:lvl>
  </w:abstractNum>
  <w:abstractNum w:abstractNumId="423369">
    <w:lvl>
      <w:numFmt w:val="bullet"/>
      <w:suff w:val="tab"/>
      <w:lvlText w:val="￮"/>
      <w:rPr>
        <w:color w:val="3370ff"/>
      </w:rPr>
    </w:lvl>
  </w:abstractNum>
  <w:abstractNum w:abstractNumId="423370">
    <w:lvl>
      <w:numFmt w:val="bullet"/>
      <w:suff w:val="tab"/>
      <w:lvlText w:val="▪"/>
      <w:rPr>
        <w:color w:val="3370ff"/>
        <w:sz w:val="11"/>
      </w:rPr>
    </w:lvl>
  </w:abstractNum>
  <w:abstractNum w:abstractNumId="423371">
    <w:lvl>
      <w:numFmt w:val="bullet"/>
      <w:suff w:val="tab"/>
      <w:lvlText w:val="▪"/>
      <w:rPr>
        <w:color w:val="3370ff"/>
        <w:sz w:val="11"/>
      </w:rPr>
    </w:lvl>
  </w:abstractNum>
  <w:abstractNum w:abstractNumId="423372">
    <w:lvl>
      <w:numFmt w:val="bullet"/>
      <w:suff w:val="tab"/>
      <w:lvlText w:val="▪"/>
      <w:rPr>
        <w:color w:val="3370ff"/>
        <w:sz w:val="11"/>
      </w:rPr>
    </w:lvl>
  </w:abstractNum>
  <w:abstractNum w:abstractNumId="423373">
    <w:lvl>
      <w:numFmt w:val="bullet"/>
      <w:suff w:val="tab"/>
      <w:lvlText w:val="▪"/>
      <w:rPr>
        <w:color w:val="3370ff"/>
        <w:sz w:val="11"/>
      </w:rPr>
    </w:lvl>
  </w:abstractNum>
  <w:abstractNum w:abstractNumId="423374">
    <w:lvl>
      <w:numFmt w:val="bullet"/>
      <w:suff w:val="tab"/>
      <w:lvlText w:val="￮"/>
      <w:rPr>
        <w:color w:val="3370ff"/>
      </w:rPr>
    </w:lvl>
  </w:abstractNum>
  <w:abstractNum w:abstractNumId="423375">
    <w:lvl>
      <w:numFmt w:val="bullet"/>
      <w:suff w:val="tab"/>
      <w:lvlText w:val="•"/>
      <w:rPr>
        <w:color w:val="3370ff"/>
      </w:rPr>
    </w:lvl>
  </w:abstractNum>
  <w:abstractNum w:abstractNumId="423376">
    <w:lvl>
      <w:numFmt w:val="bullet"/>
      <w:suff w:val="tab"/>
      <w:lvlText w:val="￮"/>
      <w:rPr>
        <w:color w:val="3370ff"/>
      </w:rPr>
    </w:lvl>
  </w:abstractNum>
  <w:abstractNum w:abstractNumId="423377">
    <w:lvl>
      <w:numFmt w:val="bullet"/>
      <w:suff w:val="tab"/>
      <w:lvlText w:val="￮"/>
      <w:rPr>
        <w:color w:val="3370ff"/>
      </w:rPr>
    </w:lvl>
  </w:abstractNum>
  <w:abstractNum w:abstractNumId="423378">
    <w:lvl>
      <w:numFmt w:val="bullet"/>
      <w:suff w:val="tab"/>
      <w:lvlText w:val="▪"/>
      <w:rPr>
        <w:color w:val="3370ff"/>
        <w:sz w:val="11"/>
      </w:rPr>
    </w:lvl>
  </w:abstractNum>
  <w:abstractNum w:abstractNumId="423379">
    <w:lvl>
      <w:numFmt w:val="bullet"/>
      <w:suff w:val="tab"/>
      <w:lvlText w:val="▪"/>
      <w:rPr>
        <w:color w:val="3370ff"/>
        <w:sz w:val="11"/>
      </w:rPr>
    </w:lvl>
  </w:abstractNum>
  <w:abstractNum w:abstractNumId="423380">
    <w:lvl>
      <w:numFmt w:val="bullet"/>
      <w:suff w:val="tab"/>
      <w:lvlText w:val="▪"/>
      <w:rPr>
        <w:color w:val="3370ff"/>
        <w:sz w:val="11"/>
      </w:rPr>
    </w:lvl>
  </w:abstractNum>
  <w:abstractNum w:abstractNumId="423381">
    <w:lvl>
      <w:numFmt w:val="bullet"/>
      <w:suff w:val="tab"/>
      <w:lvlText w:val="￮"/>
      <w:rPr>
        <w:color w:val="3370ff"/>
      </w:rPr>
    </w:lvl>
  </w:abstractNum>
  <w:abstractNum w:abstractNumId="423382">
    <w:lvl>
      <w:numFmt w:val="bullet"/>
      <w:suff w:val="tab"/>
      <w:lvlText w:val="•"/>
      <w:rPr>
        <w:color w:val="3370ff"/>
      </w:rPr>
    </w:lvl>
  </w:abstractNum>
  <w:abstractNum w:abstractNumId="423383">
    <w:lvl>
      <w:numFmt w:val="bullet"/>
      <w:suff w:val="tab"/>
      <w:lvlText w:val="￮"/>
      <w:rPr>
        <w:color w:val="3370ff"/>
      </w:rPr>
    </w:lvl>
  </w:abstractNum>
  <w:abstractNum w:abstractNumId="423384">
    <w:lvl>
      <w:numFmt w:val="bullet"/>
      <w:suff w:val="tab"/>
      <w:lvlText w:val="￮"/>
      <w:rPr>
        <w:color w:val="3370ff"/>
      </w:rPr>
    </w:lvl>
  </w:abstractNum>
  <w:abstractNum w:abstractNumId="423385">
    <w:lvl>
      <w:numFmt w:val="bullet"/>
      <w:suff w:val="tab"/>
      <w:lvlText w:val="▪"/>
      <w:rPr>
        <w:color w:val="3370ff"/>
        <w:sz w:val="11"/>
      </w:rPr>
    </w:lvl>
  </w:abstractNum>
  <w:abstractNum w:abstractNumId="423386">
    <w:lvl>
      <w:numFmt w:val="bullet"/>
      <w:suff w:val="tab"/>
      <w:lvlText w:val="▪"/>
      <w:rPr>
        <w:color w:val="3370ff"/>
        <w:sz w:val="11"/>
      </w:rPr>
    </w:lvl>
  </w:abstractNum>
  <w:abstractNum w:abstractNumId="423387">
    <w:lvl>
      <w:numFmt w:val="bullet"/>
      <w:suff w:val="tab"/>
      <w:lvlText w:val="▪"/>
      <w:rPr>
        <w:color w:val="3370ff"/>
        <w:sz w:val="11"/>
      </w:rPr>
    </w:lvl>
  </w:abstractNum>
  <w:abstractNum w:abstractNumId="423388">
    <w:lvl>
      <w:numFmt w:val="bullet"/>
      <w:suff w:val="tab"/>
      <w:lvlText w:val="￮"/>
      <w:rPr>
        <w:color w:val="3370ff"/>
      </w:rPr>
    </w:lvl>
  </w:abstractNum>
  <w:abstractNum w:abstractNumId="423389">
    <w:lvl>
      <w:numFmt w:val="bullet"/>
      <w:suff w:val="tab"/>
      <w:lvlText w:val="•"/>
      <w:rPr>
        <w:color w:val="3370ff"/>
      </w:rPr>
    </w:lvl>
  </w:abstractNum>
  <w:abstractNum w:abstractNumId="423390">
    <w:lvl>
      <w:numFmt w:val="bullet"/>
      <w:suff w:val="tab"/>
      <w:lvlText w:val="￮"/>
      <w:rPr>
        <w:color w:val="3370ff"/>
      </w:rPr>
    </w:lvl>
  </w:abstractNum>
  <w:abstractNum w:abstractNumId="423391">
    <w:lvl>
      <w:numFmt w:val="bullet"/>
      <w:suff w:val="tab"/>
      <w:lvlText w:val="￮"/>
      <w:rPr>
        <w:color w:val="3370ff"/>
      </w:rPr>
    </w:lvl>
  </w:abstractNum>
  <w:abstractNum w:abstractNumId="423392">
    <w:lvl>
      <w:numFmt w:val="bullet"/>
      <w:suff w:val="tab"/>
      <w:lvlText w:val="▪"/>
      <w:rPr>
        <w:color w:val="3370ff"/>
        <w:sz w:val="11"/>
      </w:rPr>
    </w:lvl>
  </w:abstractNum>
  <w:abstractNum w:abstractNumId="423393">
    <w:lvl>
      <w:numFmt w:val="bullet"/>
      <w:suff w:val="tab"/>
      <w:lvlText w:val="▪"/>
      <w:rPr>
        <w:color w:val="3370ff"/>
        <w:sz w:val="11"/>
      </w:rPr>
    </w:lvl>
  </w:abstractNum>
  <w:abstractNum w:abstractNumId="423394">
    <w:lvl>
      <w:numFmt w:val="bullet"/>
      <w:suff w:val="tab"/>
      <w:lvlText w:val="▪"/>
      <w:rPr>
        <w:color w:val="3370ff"/>
        <w:sz w:val="11"/>
      </w:rPr>
    </w:lvl>
  </w:abstractNum>
  <w:abstractNum w:abstractNumId="423395">
    <w:lvl>
      <w:numFmt w:val="bullet"/>
      <w:suff w:val="tab"/>
      <w:lvlText w:val="￮"/>
      <w:rPr>
        <w:color w:val="3370ff"/>
      </w:rPr>
    </w:lvl>
  </w:abstractNum>
  <w:abstractNum w:abstractNumId="423396">
    <w:lvl>
      <w:numFmt w:val="bullet"/>
      <w:suff w:val="tab"/>
      <w:lvlText w:val="•"/>
      <w:rPr>
        <w:color w:val="3370ff"/>
      </w:rPr>
    </w:lvl>
  </w:abstractNum>
  <w:abstractNum w:abstractNumId="423397">
    <w:lvl>
      <w:numFmt w:val="bullet"/>
      <w:suff w:val="tab"/>
      <w:lvlText w:val="￮"/>
      <w:rPr>
        <w:color w:val="3370ff"/>
      </w:rPr>
    </w:lvl>
  </w:abstractNum>
  <w:abstractNum w:abstractNumId="423398">
    <w:lvl>
      <w:numFmt w:val="bullet"/>
      <w:suff w:val="tab"/>
      <w:lvlText w:val="￮"/>
      <w:rPr>
        <w:color w:val="3370ff"/>
      </w:rPr>
    </w:lvl>
  </w:abstractNum>
  <w:abstractNum w:abstractNumId="423399">
    <w:lvl>
      <w:numFmt w:val="bullet"/>
      <w:suff w:val="tab"/>
      <w:lvlText w:val="▪"/>
      <w:rPr>
        <w:color w:val="3370ff"/>
        <w:sz w:val="11"/>
      </w:rPr>
    </w:lvl>
  </w:abstractNum>
  <w:abstractNum w:abstractNumId="423400">
    <w:lvl>
      <w:numFmt w:val="bullet"/>
      <w:suff w:val="tab"/>
      <w:lvlText w:val="▪"/>
      <w:rPr>
        <w:color w:val="3370ff"/>
        <w:sz w:val="11"/>
      </w:rPr>
    </w:lvl>
  </w:abstractNum>
  <w:abstractNum w:abstractNumId="423401">
    <w:lvl>
      <w:numFmt w:val="bullet"/>
      <w:suff w:val="tab"/>
      <w:lvlText w:val="▪"/>
      <w:rPr>
        <w:color w:val="3370ff"/>
        <w:sz w:val="11"/>
      </w:rPr>
    </w:lvl>
  </w:abstractNum>
  <w:abstractNum w:abstractNumId="423402">
    <w:lvl>
      <w:numFmt w:val="bullet"/>
      <w:suff w:val="tab"/>
      <w:lvlText w:val="￮"/>
      <w:rPr>
        <w:color w:val="3370ff"/>
      </w:rPr>
    </w:lvl>
  </w:abstractNum>
  <w:abstractNum w:abstractNumId="423403">
    <w:lvl>
      <w:numFmt w:val="bullet"/>
      <w:suff w:val="tab"/>
      <w:lvlText w:val="•"/>
      <w:rPr>
        <w:color w:val="3370ff"/>
      </w:rPr>
    </w:lvl>
  </w:abstractNum>
  <w:abstractNum w:abstractNumId="423404">
    <w:lvl>
      <w:numFmt w:val="bullet"/>
      <w:suff w:val="tab"/>
      <w:lvlText w:val="￮"/>
      <w:rPr>
        <w:color w:val="3370ff"/>
      </w:rPr>
    </w:lvl>
  </w:abstractNum>
  <w:abstractNum w:abstractNumId="423405">
    <w:lvl>
      <w:numFmt w:val="bullet"/>
      <w:suff w:val="tab"/>
      <w:lvlText w:val="￮"/>
      <w:rPr>
        <w:color w:val="3370ff"/>
      </w:rPr>
    </w:lvl>
  </w:abstractNum>
  <w:abstractNum w:abstractNumId="423406">
    <w:lvl>
      <w:numFmt w:val="bullet"/>
      <w:suff w:val="tab"/>
      <w:lvlText w:val="▪"/>
      <w:rPr>
        <w:color w:val="3370ff"/>
        <w:sz w:val="11"/>
      </w:rPr>
    </w:lvl>
  </w:abstractNum>
  <w:abstractNum w:abstractNumId="423407">
    <w:lvl>
      <w:numFmt w:val="bullet"/>
      <w:suff w:val="tab"/>
      <w:lvlText w:val="•"/>
      <w:rPr>
        <w:color w:val="3370ff"/>
      </w:rPr>
    </w:lvl>
  </w:abstractNum>
  <w:abstractNum w:abstractNumId="423408">
    <w:lvl>
      <w:numFmt w:val="bullet"/>
      <w:suff w:val="tab"/>
      <w:lvlText w:val="•"/>
      <w:rPr>
        <w:color w:val="3370ff"/>
      </w:rPr>
    </w:lvl>
  </w:abstractNum>
  <w:abstractNum w:abstractNumId="423409">
    <w:lvl>
      <w:numFmt w:val="bullet"/>
      <w:suff w:val="tab"/>
      <w:lvlText w:val="•"/>
      <w:rPr>
        <w:color w:val="3370ff"/>
      </w:rPr>
    </w:lvl>
  </w:abstractNum>
  <w:abstractNum w:abstractNumId="423410">
    <w:lvl>
      <w:numFmt w:val="bullet"/>
      <w:suff w:val="tab"/>
      <w:lvlText w:val="▪"/>
      <w:rPr>
        <w:color w:val="3370ff"/>
        <w:sz w:val="11"/>
      </w:rPr>
    </w:lvl>
  </w:abstractNum>
  <w:abstractNum w:abstractNumId="423411">
    <w:lvl>
      <w:numFmt w:val="bullet"/>
      <w:suff w:val="tab"/>
      <w:lvlText w:val="￮"/>
      <w:rPr>
        <w:color w:val="3370ff"/>
      </w:rPr>
    </w:lvl>
  </w:abstractNum>
  <w:abstractNum w:abstractNumId="423412">
    <w:lvl>
      <w:numFmt w:val="bullet"/>
      <w:suff w:val="tab"/>
      <w:lvlText w:val="•"/>
      <w:rPr>
        <w:color w:val="3370ff"/>
      </w:rPr>
    </w:lvl>
  </w:abstractNum>
  <w:abstractNum w:abstractNumId="423413">
    <w:lvl>
      <w:numFmt w:val="bullet"/>
      <w:suff w:val="tab"/>
      <w:lvlText w:val="￮"/>
      <w:rPr>
        <w:color w:val="3370ff"/>
      </w:rPr>
    </w:lvl>
  </w:abstractNum>
  <w:abstractNum w:abstractNumId="423414">
    <w:lvl>
      <w:numFmt w:val="bullet"/>
      <w:suff w:val="tab"/>
      <w:lvlText w:val="￮"/>
      <w:rPr>
        <w:color w:val="3370ff"/>
      </w:rPr>
    </w:lvl>
  </w:abstractNum>
  <w:abstractNum w:abstractNumId="423415">
    <w:lvl>
      <w:numFmt w:val="bullet"/>
      <w:suff w:val="tab"/>
      <w:lvlText w:val="▪"/>
      <w:rPr>
        <w:color w:val="3370ff"/>
        <w:sz w:val="11"/>
      </w:rPr>
    </w:lvl>
  </w:abstractNum>
  <w:abstractNum w:abstractNumId="423416">
    <w:lvl>
      <w:numFmt w:val="bullet"/>
      <w:suff w:val="tab"/>
      <w:lvlText w:val="▪"/>
      <w:rPr>
        <w:color w:val="3370ff"/>
        <w:sz w:val="11"/>
      </w:rPr>
    </w:lvl>
  </w:abstractNum>
  <w:abstractNum w:abstractNumId="423417">
    <w:lvl>
      <w:numFmt w:val="bullet"/>
      <w:suff w:val="tab"/>
      <w:lvlText w:val="▪"/>
      <w:rPr>
        <w:color w:val="3370ff"/>
        <w:sz w:val="11"/>
      </w:rPr>
    </w:lvl>
  </w:abstractNum>
  <w:abstractNum w:abstractNumId="423418">
    <w:lvl>
      <w:numFmt w:val="bullet"/>
      <w:suff w:val="tab"/>
      <w:lvlText w:val="￮"/>
      <w:rPr>
        <w:color w:val="3370ff"/>
      </w:rPr>
    </w:lvl>
  </w:abstractNum>
  <w:abstractNum w:abstractNumId="423419">
    <w:lvl>
      <w:numFmt w:val="bullet"/>
      <w:suff w:val="tab"/>
      <w:lvlText w:val="•"/>
      <w:rPr>
        <w:color w:val="3370ff"/>
      </w:rPr>
    </w:lvl>
  </w:abstractNum>
  <w:abstractNum w:abstractNumId="423420">
    <w:lvl>
      <w:numFmt w:val="bullet"/>
      <w:suff w:val="tab"/>
      <w:lvlText w:val="￮"/>
      <w:rPr>
        <w:color w:val="3370ff"/>
      </w:rPr>
    </w:lvl>
  </w:abstractNum>
  <w:abstractNum w:abstractNumId="423421">
    <w:lvl>
      <w:numFmt w:val="bullet"/>
      <w:suff w:val="tab"/>
      <w:lvlText w:val="￮"/>
      <w:rPr>
        <w:color w:val="3370ff"/>
      </w:rPr>
    </w:lvl>
  </w:abstractNum>
  <w:abstractNum w:abstractNumId="423422">
    <w:lvl>
      <w:numFmt w:val="bullet"/>
      <w:suff w:val="tab"/>
      <w:lvlText w:val="▪"/>
      <w:rPr>
        <w:color w:val="3370ff"/>
        <w:sz w:val="11"/>
      </w:rPr>
    </w:lvl>
  </w:abstractNum>
  <w:abstractNum w:abstractNumId="423423">
    <w:lvl>
      <w:numFmt w:val="bullet"/>
      <w:suff w:val="tab"/>
      <w:lvlText w:val="▪"/>
      <w:rPr>
        <w:color w:val="3370ff"/>
        <w:sz w:val="11"/>
      </w:rPr>
    </w:lvl>
  </w:abstractNum>
  <w:abstractNum w:abstractNumId="423424">
    <w:lvl>
      <w:numFmt w:val="bullet"/>
      <w:suff w:val="tab"/>
      <w:lvlText w:val="▪"/>
      <w:rPr>
        <w:color w:val="3370ff"/>
        <w:sz w:val="11"/>
      </w:rPr>
    </w:lvl>
  </w:abstractNum>
  <w:abstractNum w:abstractNumId="423425">
    <w:lvl>
      <w:numFmt w:val="bullet"/>
      <w:suff w:val="tab"/>
      <w:lvlText w:val="￮"/>
      <w:rPr>
        <w:color w:val="3370ff"/>
      </w:rPr>
    </w:lvl>
  </w:abstractNum>
  <w:abstractNum w:abstractNumId="423426">
    <w:lvl>
      <w:numFmt w:val="bullet"/>
      <w:suff w:val="tab"/>
      <w:lvlText w:val="•"/>
      <w:rPr>
        <w:color w:val="3370ff"/>
      </w:rPr>
    </w:lvl>
  </w:abstractNum>
  <w:abstractNum w:abstractNumId="423427">
    <w:lvl>
      <w:numFmt w:val="bullet"/>
      <w:suff w:val="tab"/>
      <w:lvlText w:val="•"/>
      <w:rPr>
        <w:color w:val="3370ff"/>
      </w:rPr>
    </w:lvl>
  </w:abstractNum>
  <w:abstractNum w:abstractNumId="423428">
    <w:lvl>
      <w:numFmt w:val="bullet"/>
      <w:suff w:val="tab"/>
      <w:lvlText w:val="￮"/>
      <w:rPr>
        <w:color w:val="3370ff"/>
      </w:rPr>
    </w:lvl>
  </w:abstractNum>
  <w:abstractNum w:abstractNumId="423429">
    <w:lvl>
      <w:numFmt w:val="bullet"/>
      <w:suff w:val="tab"/>
      <w:lvlText w:val="￮"/>
      <w:rPr>
        <w:color w:val="3370ff"/>
      </w:rPr>
    </w:lvl>
  </w:abstractNum>
  <w:abstractNum w:abstractNumId="423430">
    <w:lvl>
      <w:numFmt w:val="bullet"/>
      <w:suff w:val="tab"/>
      <w:lvlText w:val="￮"/>
      <w:rPr>
        <w:color w:val="3370ff"/>
      </w:rPr>
    </w:lvl>
  </w:abstractNum>
  <w:abstractNum w:abstractNumId="423431">
    <w:lvl>
      <w:numFmt w:val="bullet"/>
      <w:suff w:val="tab"/>
      <w:lvlText w:val="•"/>
      <w:rPr>
        <w:color w:val="3370ff"/>
      </w:rPr>
    </w:lvl>
  </w:abstractNum>
  <w:abstractNum w:abstractNumId="423432">
    <w:lvl>
      <w:numFmt w:val="bullet"/>
      <w:suff w:val="tab"/>
      <w:lvlText w:val="•"/>
      <w:rPr>
        <w:color w:val="3370ff"/>
      </w:rPr>
    </w:lvl>
  </w:abstractNum>
  <w:abstractNum w:abstractNumId="423433">
    <w:lvl>
      <w:numFmt w:val="bullet"/>
      <w:suff w:val="tab"/>
      <w:lvlText w:val="•"/>
      <w:rPr>
        <w:color w:val="3370ff"/>
      </w:rPr>
    </w:lvl>
  </w:abstractNum>
  <w:abstractNum w:abstractNumId="423434">
    <w:lvl>
      <w:numFmt w:val="bullet"/>
      <w:suff w:val="tab"/>
      <w:lvlText w:val="•"/>
      <w:rPr>
        <w:color w:val="3370ff"/>
      </w:rPr>
    </w:lvl>
  </w:abstractNum>
  <w:abstractNum w:abstractNumId="423435">
    <w:lvl>
      <w:numFmt w:val="bullet"/>
      <w:suff w:val="tab"/>
      <w:lvlText w:val="•"/>
      <w:rPr>
        <w:color w:val="3370ff"/>
      </w:rPr>
    </w:lvl>
  </w:abstractNum>
  <w:num w:numId="1">
    <w:abstractNumId w:val="423344"/>
  </w:num>
  <w:num w:numId="2">
    <w:abstractNumId w:val="423345"/>
  </w:num>
  <w:num w:numId="3">
    <w:abstractNumId w:val="423346"/>
  </w:num>
  <w:num w:numId="4">
    <w:abstractNumId w:val="423347"/>
  </w:num>
  <w:num w:numId="5">
    <w:abstractNumId w:val="423348"/>
  </w:num>
  <w:num w:numId="6">
    <w:abstractNumId w:val="423349"/>
  </w:num>
  <w:num w:numId="7">
    <w:abstractNumId w:val="423350"/>
  </w:num>
  <w:num w:numId="8">
    <w:abstractNumId w:val="423351"/>
  </w:num>
  <w:num w:numId="9">
    <w:abstractNumId w:val="423352"/>
  </w:num>
  <w:num w:numId="10">
    <w:abstractNumId w:val="423353"/>
  </w:num>
  <w:num w:numId="11">
    <w:abstractNumId w:val="423354"/>
  </w:num>
  <w:num w:numId="12">
    <w:abstractNumId w:val="423355"/>
  </w:num>
  <w:num w:numId="13">
    <w:abstractNumId w:val="423356"/>
  </w:num>
  <w:num w:numId="14">
    <w:abstractNumId w:val="423357"/>
  </w:num>
  <w:num w:numId="15">
    <w:abstractNumId w:val="423358"/>
  </w:num>
  <w:num w:numId="16">
    <w:abstractNumId w:val="423359"/>
  </w:num>
  <w:num w:numId="17">
    <w:abstractNumId w:val="423360"/>
  </w:num>
  <w:num w:numId="18">
    <w:abstractNumId w:val="423361"/>
  </w:num>
  <w:num w:numId="19">
    <w:abstractNumId w:val="423362"/>
  </w:num>
  <w:num w:numId="20">
    <w:abstractNumId w:val="423363"/>
  </w:num>
  <w:num w:numId="21">
    <w:abstractNumId w:val="423364"/>
  </w:num>
  <w:num w:numId="22">
    <w:abstractNumId w:val="423365"/>
  </w:num>
  <w:num w:numId="23">
    <w:abstractNumId w:val="423366"/>
  </w:num>
  <w:num w:numId="24">
    <w:abstractNumId w:val="423367"/>
  </w:num>
  <w:num w:numId="25">
    <w:abstractNumId w:val="423368"/>
  </w:num>
  <w:num w:numId="26">
    <w:abstractNumId w:val="423369"/>
  </w:num>
  <w:num w:numId="27">
    <w:abstractNumId w:val="423370"/>
  </w:num>
  <w:num w:numId="28">
    <w:abstractNumId w:val="423371"/>
  </w:num>
  <w:num w:numId="29">
    <w:abstractNumId w:val="423372"/>
  </w:num>
  <w:num w:numId="30">
    <w:abstractNumId w:val="423373"/>
  </w:num>
  <w:num w:numId="31">
    <w:abstractNumId w:val="423374"/>
  </w:num>
  <w:num w:numId="32">
    <w:abstractNumId w:val="423375"/>
  </w:num>
  <w:num w:numId="33">
    <w:abstractNumId w:val="423376"/>
  </w:num>
  <w:num w:numId="34">
    <w:abstractNumId w:val="423377"/>
  </w:num>
  <w:num w:numId="35">
    <w:abstractNumId w:val="423378"/>
  </w:num>
  <w:num w:numId="36">
    <w:abstractNumId w:val="423379"/>
  </w:num>
  <w:num w:numId="37">
    <w:abstractNumId w:val="423380"/>
  </w:num>
  <w:num w:numId="38">
    <w:abstractNumId w:val="423381"/>
  </w:num>
  <w:num w:numId="39">
    <w:abstractNumId w:val="423382"/>
  </w:num>
  <w:num w:numId="40">
    <w:abstractNumId w:val="423383"/>
  </w:num>
  <w:num w:numId="41">
    <w:abstractNumId w:val="423384"/>
  </w:num>
  <w:num w:numId="42">
    <w:abstractNumId w:val="423385"/>
  </w:num>
  <w:num w:numId="43">
    <w:abstractNumId w:val="423386"/>
  </w:num>
  <w:num w:numId="44">
    <w:abstractNumId w:val="423387"/>
  </w:num>
  <w:num w:numId="45">
    <w:abstractNumId w:val="423388"/>
  </w:num>
  <w:num w:numId="46">
    <w:abstractNumId w:val="423389"/>
  </w:num>
  <w:num w:numId="47">
    <w:abstractNumId w:val="423390"/>
  </w:num>
  <w:num w:numId="48">
    <w:abstractNumId w:val="423391"/>
  </w:num>
  <w:num w:numId="49">
    <w:abstractNumId w:val="423392"/>
  </w:num>
  <w:num w:numId="50">
    <w:abstractNumId w:val="423393"/>
  </w:num>
  <w:num w:numId="51">
    <w:abstractNumId w:val="423394"/>
  </w:num>
  <w:num w:numId="52">
    <w:abstractNumId w:val="423395"/>
  </w:num>
  <w:num w:numId="53">
    <w:abstractNumId w:val="423396"/>
  </w:num>
  <w:num w:numId="54">
    <w:abstractNumId w:val="423397"/>
  </w:num>
  <w:num w:numId="55">
    <w:abstractNumId w:val="423398"/>
  </w:num>
  <w:num w:numId="56">
    <w:abstractNumId w:val="423399"/>
  </w:num>
  <w:num w:numId="57">
    <w:abstractNumId w:val="423400"/>
  </w:num>
  <w:num w:numId="58">
    <w:abstractNumId w:val="423401"/>
  </w:num>
  <w:num w:numId="59">
    <w:abstractNumId w:val="423402"/>
  </w:num>
  <w:num w:numId="60">
    <w:abstractNumId w:val="423403"/>
  </w:num>
  <w:num w:numId="61">
    <w:abstractNumId w:val="423404"/>
  </w:num>
  <w:num w:numId="62">
    <w:abstractNumId w:val="423405"/>
  </w:num>
  <w:num w:numId="63">
    <w:abstractNumId w:val="423406"/>
  </w:num>
  <w:num w:numId="64">
    <w:abstractNumId w:val="423407"/>
  </w:num>
  <w:num w:numId="65">
    <w:abstractNumId w:val="423408"/>
  </w:num>
  <w:num w:numId="66">
    <w:abstractNumId w:val="423409"/>
  </w:num>
  <w:num w:numId="67">
    <w:abstractNumId w:val="423410"/>
  </w:num>
  <w:num w:numId="68">
    <w:abstractNumId w:val="423411"/>
  </w:num>
  <w:num w:numId="69">
    <w:abstractNumId w:val="423412"/>
  </w:num>
  <w:num w:numId="70">
    <w:abstractNumId w:val="423413"/>
  </w:num>
  <w:num w:numId="71">
    <w:abstractNumId w:val="423414"/>
  </w:num>
  <w:num w:numId="72">
    <w:abstractNumId w:val="423415"/>
  </w:num>
  <w:num w:numId="73">
    <w:abstractNumId w:val="423416"/>
  </w:num>
  <w:num w:numId="74">
    <w:abstractNumId w:val="423417"/>
  </w:num>
  <w:num w:numId="75">
    <w:abstractNumId w:val="423418"/>
  </w:num>
  <w:num w:numId="76">
    <w:abstractNumId w:val="423419"/>
  </w:num>
  <w:num w:numId="77">
    <w:abstractNumId w:val="423420"/>
  </w:num>
  <w:num w:numId="78">
    <w:abstractNumId w:val="423421"/>
  </w:num>
  <w:num w:numId="79">
    <w:abstractNumId w:val="423422"/>
  </w:num>
  <w:num w:numId="80">
    <w:abstractNumId w:val="423423"/>
  </w:num>
  <w:num w:numId="81">
    <w:abstractNumId w:val="423424"/>
  </w:num>
  <w:num w:numId="82">
    <w:abstractNumId w:val="423425"/>
  </w:num>
  <w:num w:numId="83">
    <w:abstractNumId w:val="423426"/>
  </w:num>
  <w:num w:numId="84">
    <w:abstractNumId w:val="423427"/>
  </w:num>
  <w:num w:numId="85">
    <w:abstractNumId w:val="423428"/>
  </w:num>
  <w:num w:numId="86">
    <w:abstractNumId w:val="423429"/>
  </w:num>
  <w:num w:numId="87">
    <w:abstractNumId w:val="423430"/>
  </w:num>
  <w:num w:numId="88">
    <w:abstractNumId w:val="423431"/>
  </w:num>
  <w:num w:numId="89">
    <w:abstractNumId w:val="423432"/>
  </w:num>
  <w:num w:numId="90">
    <w:abstractNumId w:val="423433"/>
  </w:num>
  <w:num w:numId="91">
    <w:abstractNumId w:val="423434"/>
  </w:num>
  <w:num w:numId="92">
    <w:abstractNumId w:val="4234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2025-12-30T09:25:13Z</dcterms:created>
  <dc:creator>Apache POI</dc:creator>
</cp:coreProperties>
</file>