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心知了</w:t>
      </w:r>
      <w:r>
        <w:rPr>
          <w:rFonts w:eastAsia="等线" w:ascii="Arial" w:cs="Arial" w:hAnsi="Arial"/>
          <w:b w:val="true"/>
          <w:sz w:val="52"/>
        </w:rPr>
        <w:t>心脏康复</w:t>
      </w:r>
      <w:r>
        <w:rPr>
          <w:rFonts w:eastAsia="等线" w:ascii="Arial" w:cs="Arial" w:hAnsi="Arial"/>
          <w:b w:val="true"/>
          <w:sz w:val="52"/>
        </w:rPr>
        <w:t>服务项目复盘</w:t>
      </w:r>
    </w:p>
    <w:p>
      <w:pPr>
        <w:pStyle w:val="1"/>
        <w:spacing w:before="380" w:after="140" w:line="288" w:lineRule="auto"/>
        <w:ind w:left="0"/>
        <w:jc w:val="left"/>
        <w:outlineLvl w:val="0"/>
      </w:pPr>
      <w:bookmarkStart w:name="heading_0" w:id="0"/>
      <w:r>
        <w:rPr>
          <w:rFonts w:eastAsia="等线" w:ascii="Arial" w:cs="Arial" w:hAnsi="Arial"/>
          <w:b w:val="true"/>
          <w:sz w:val="36"/>
        </w:rPr>
        <w:t>一、项目基本信息</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2550"/>
        <w:gridCol w:w="1470"/>
        <w:gridCol w:w="2805"/>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需求部门</w:t>
            </w:r>
          </w:p>
        </w:tc>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医学服务产品部</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项目成员</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@吕望来</w:t>
            </w:r>
            <w:r>
              <w:rPr>
                <w:rFonts w:eastAsia="等线" w:ascii="Arial" w:cs="Arial" w:hAnsi="Arial"/>
                <w:color w:val="3370ff"/>
                <w:sz w:val="22"/>
              </w:rPr>
              <w:t>@程峥</w:t>
            </w:r>
            <w:r>
              <w:rPr>
                <w:rFonts w:eastAsia="等线" w:ascii="Arial" w:cs="Arial" w:hAnsi="Arial"/>
                <w:color w:val="3370ff"/>
                <w:sz w:val="22"/>
              </w:rPr>
              <w:t>@金和龙</w:t>
            </w:r>
            <w:r>
              <w:rPr>
                <w:rFonts w:eastAsia="等线" w:ascii="Arial" w:cs="Arial" w:hAnsi="Arial"/>
                <w:color w:val="3370ff"/>
                <w:sz w:val="22"/>
              </w:rPr>
              <w:t>@金继业</w:t>
            </w:r>
            <w:r>
              <w:rPr>
                <w:rFonts w:eastAsia="等线" w:ascii="Arial" w:cs="Arial" w:hAnsi="Arial"/>
                <w:color w:val="3370ff"/>
                <w:sz w:val="22"/>
              </w:rPr>
              <w:t>@郑丹</w:t>
            </w:r>
            <w:r>
              <w:rPr>
                <w:rFonts w:eastAsia="等线" w:ascii="Arial" w:cs="Arial" w:hAnsi="Arial"/>
                <w:color w:val="3370ff"/>
                <w:sz w:val="22"/>
              </w:rPr>
              <w:t>@葛超翔</w:t>
            </w:r>
            <w:r>
              <w:rPr>
                <w:rFonts w:eastAsia="等线" w:ascii="Arial" w:cs="Arial" w:hAnsi="Arial"/>
                <w:color w:val="3370ff"/>
                <w:sz w:val="22"/>
              </w:rPr>
              <w:t>@郑文浩</w:t>
            </w:r>
            <w:r>
              <w:rPr>
                <w:rFonts w:eastAsia="等线" w:ascii="Arial" w:cs="Arial" w:hAnsi="Arial"/>
                <w:color w:val="3370ff"/>
                <w:sz w:val="22"/>
              </w:rPr>
              <w:t>@高飞</w:t>
            </w:r>
            <w:r>
              <w:rPr>
                <w:rFonts w:eastAsia="等线" w:ascii="Arial" w:cs="Arial" w:hAnsi="Arial"/>
                <w:color w:val="3370ff"/>
                <w:sz w:val="22"/>
              </w:rPr>
              <w:t>@朱守赛</w:t>
            </w:r>
            <w:r>
              <w:rPr>
                <w:rFonts w:eastAsia="等线" w:ascii="Arial" w:cs="Arial" w:hAnsi="Arial"/>
                <w:color w:val="3370ff"/>
                <w:sz w:val="22"/>
              </w:rPr>
              <w:t>@杨意华</w:t>
            </w:r>
            <w:r>
              <w:rPr>
                <w:rFonts w:eastAsia="等线" w:ascii="Arial" w:cs="Arial" w:hAnsi="Arial"/>
                <w:color w:val="3370ff"/>
                <w:sz w:val="22"/>
              </w:rPr>
              <w:t>@朱宇翔</w:t>
            </w:r>
            <w:r>
              <w:rPr>
                <w:rFonts w:eastAsia="等线" w:ascii="Arial" w:cs="Arial" w:hAnsi="Arial"/>
                <w:color w:val="3370ff"/>
                <w:sz w:val="22"/>
              </w:rPr>
              <w:t>@胡洁</w:t>
            </w:r>
            <w:r>
              <w:rPr>
                <w:rFonts w:eastAsia="等线" w:ascii="Arial" w:cs="Arial" w:hAnsi="Arial"/>
                <w:color w:val="3370ff"/>
                <w:sz w:val="22"/>
              </w:rPr>
              <w:t>@陈志强</w:t>
            </w:r>
            <w:r>
              <w:rPr>
                <w:rFonts w:eastAsia="等线" w:ascii="Arial" w:cs="Arial" w:hAnsi="Arial"/>
                <w:color w:val="3370ff"/>
                <w:sz w:val="22"/>
              </w:rPr>
              <w:t>@黄德飞</w:t>
            </w:r>
            <w:r>
              <w:rPr>
                <w:rFonts w:eastAsia="等线" w:ascii="Arial" w:cs="Arial" w:hAnsi="Arial"/>
                <w:color w:val="3370ff"/>
                <w:sz w:val="22"/>
              </w:rPr>
              <w:t>@李明军</w:t>
            </w:r>
            <w:r>
              <w:rPr>
                <w:rFonts w:eastAsia="等线" w:ascii="Arial" w:cs="Arial" w:hAnsi="Arial"/>
                <w:color w:val="3370ff"/>
                <w:sz w:val="22"/>
              </w:rPr>
              <w:t>@林洁</w:t>
            </w:r>
            <w:r>
              <w:rPr>
                <w:rFonts w:eastAsia="等线" w:ascii="Arial" w:cs="Arial" w:hAnsi="Arial"/>
                <w:color w:val="3370ff"/>
                <w:sz w:val="22"/>
              </w:rPr>
              <w:t>@赵俊伟</w:t>
            </w:r>
            <w:r>
              <w:rPr>
                <w:rFonts w:eastAsia="等线" w:ascii="Arial" w:cs="Arial" w:hAnsi="Arial"/>
                <w:color w:val="3370ff"/>
                <w:sz w:val="22"/>
              </w:rPr>
              <w:t>@冯振佳</w:t>
            </w:r>
            <w:r>
              <w:rPr>
                <w:rFonts w:eastAsia="等线" w:ascii="Arial" w:cs="Arial" w:hAnsi="Arial"/>
                <w:color w:val="3370ff"/>
                <w:sz w:val="22"/>
              </w:rPr>
              <w:t>@涂必鹏</w:t>
            </w:r>
            <w:r>
              <w:rPr>
                <w:rFonts w:eastAsia="等线" w:ascii="Arial" w:cs="Arial" w:hAnsi="Arial"/>
                <w:color w:val="3370ff"/>
                <w:sz w:val="22"/>
              </w:rPr>
              <w:t>@漆春晖</w:t>
            </w:r>
            <w:r>
              <w:rPr>
                <w:rFonts w:eastAsia="等线" w:ascii="Arial" w:cs="Arial" w:hAnsi="Arial"/>
                <w:color w:val="3370ff"/>
                <w:sz w:val="22"/>
              </w:rPr>
              <w:t>@罗永江</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项目启动时间</w:t>
            </w:r>
          </w:p>
        </w:tc>
        <w:tc>
          <w:tcPr>
            <w:tcW w:w="2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2023.05.30</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项目结束时间</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2023.07.11</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人力投入（人天）</w:t>
            </w:r>
          </w:p>
        </w:tc>
        <w:tc>
          <w:tcPr>
            <w:tcW w:w="68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195人天，合计项目31个工作日</w:t>
            </w:r>
          </w:p>
          <w:p>
            <w:pPr>
              <w:spacing w:before="120" w:after="120" w:line="288" w:lineRule="auto"/>
              <w:ind w:left="0"/>
              <w:jc w:val="left"/>
            </w:pPr>
          </w:p>
        </w:tc>
        <w:tc>
          <w:tcPr>
            <w:tcW w:w="1470" w:type="dxa"/>
            <w:hMerge w:val="continue"/>
            <w:tcMar>
              <w:top w:type="dxa" w:w="60"/>
              <w:left w:type="dxa" w:w="120"/>
              <w:bottom w:type="dxa" w:w="30"/>
              <w:right w:type="dxa" w:w="120"/>
            </w:tcMar>
          </w:tcPr>
          <w:p>
            <w:pPr>
              <w:spacing w:before="120" w:after="120" w:line="288" w:lineRule="auto"/>
              <w:ind w:left="0"/>
              <w:jc w:val="left"/>
            </w:pPr>
          </w:p>
        </w:tc>
        <w:tc>
          <w:tcPr>
            <w:tcW w:w="2805" w:type="dxa"/>
            <w:hMerge w:val="continue"/>
            <w:tcMar>
              <w:top w:type="dxa" w:w="60"/>
              <w:left w:type="dxa" w:w="120"/>
              <w:bottom w:type="dxa" w:w="30"/>
              <w:right w:type="dxa" w:w="120"/>
            </w:tcMar>
          </w:tcPr>
          <w:p>
            <w:pPr>
              <w:spacing w:before="120" w:after="120" w:line="288" w:lineRule="auto"/>
              <w:ind w:left="0"/>
              <w:jc w:val="left"/>
            </w:pP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项目简介</w:t>
            </w:r>
          </w:p>
        </w:tc>
        <w:tc>
          <w:tcPr>
            <w:tcW w:w="68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w:t>
            </w:r>
            <w:r>
              <w:rPr>
                <w:rFonts w:eastAsia="等线" w:ascii="Arial" w:cs="Arial" w:hAnsi="Arial"/>
                <w:sz w:val="22"/>
              </w:rPr>
              <w:t>心知了</w:t>
            </w:r>
            <w:r>
              <w:rPr>
                <w:rFonts w:eastAsia="等线" w:ascii="Arial" w:cs="Arial" w:hAnsi="Arial"/>
                <w:sz w:val="22"/>
              </w:rPr>
              <w:t>平台提供</w:t>
            </w:r>
            <w:r>
              <w:rPr>
                <w:rFonts w:eastAsia="等线" w:ascii="Arial" w:cs="Arial" w:hAnsi="Arial"/>
                <w:sz w:val="22"/>
              </w:rPr>
              <w:t>心脏康复</w:t>
            </w:r>
            <w:r>
              <w:rPr>
                <w:rFonts w:eastAsia="等线" w:ascii="Arial" w:cs="Arial" w:hAnsi="Arial"/>
                <w:sz w:val="22"/>
              </w:rPr>
              <w:t>服务，第一期主要以和中日友好医院展开科研合作。</w:t>
            </w:r>
          </w:p>
          <w:p>
            <w:pPr>
              <w:spacing w:before="120" w:after="120" w:line="288" w:lineRule="auto"/>
              <w:ind w:left="0"/>
              <w:jc w:val="left"/>
            </w:pPr>
          </w:p>
        </w:tc>
        <w:tc>
          <w:tcPr>
            <w:tcW w:w="1470" w:type="dxa"/>
            <w:hMerge w:val="continue"/>
            <w:tcMar>
              <w:top w:type="dxa" w:w="60"/>
              <w:left w:type="dxa" w:w="120"/>
              <w:bottom w:type="dxa" w:w="30"/>
              <w:right w:type="dxa" w:w="120"/>
            </w:tcMar>
          </w:tcPr>
          <w:p>
            <w:pPr>
              <w:spacing w:before="120" w:after="120" w:line="288" w:lineRule="auto"/>
              <w:ind w:left="0"/>
              <w:jc w:val="left"/>
            </w:pPr>
          </w:p>
        </w:tc>
        <w:tc>
          <w:tcPr>
            <w:tcW w:w="2805"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center"/>
      </w:pPr>
      <w:r>
        <w:drawing>
          <wp:inline distT="0" distR="0" distB="0" distL="0">
            <wp:extent cx="5257800" cy="24288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428875"/>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二、项目数据</w:t>
      </w:r>
      <w:bookmarkEnd w:id="1"/>
    </w:p>
    <w:p>
      <w:pPr>
        <w:spacing w:before="120" w:after="120" w:line="288" w:lineRule="auto"/>
        <w:ind w:left="0"/>
        <w:jc w:val="left"/>
      </w:pPr>
      <w:r>
        <w:rPr>
          <w:rFonts w:eastAsia="等线" w:ascii="Arial" w:cs="Arial" w:hAnsi="Arial"/>
          <w:sz w:val="22"/>
        </w:rPr>
        <w:t>任务相关数据：</w:t>
      </w:r>
    </w:p>
    <w:p>
      <w:pPr>
        <w:spacing w:before="120" w:after="120" w:line="288" w:lineRule="auto"/>
        <w:ind w:left="0"/>
        <w:jc w:val="center"/>
      </w:pPr>
      <w:r>
        <w:drawing>
          <wp:inline distT="0" distR="0" distB="0" distL="0">
            <wp:extent cx="5257800" cy="2628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缺陷相关数据：</w:t>
      </w:r>
    </w:p>
    <w:p>
      <w:pPr>
        <w:spacing w:before="120" w:after="120" w:line="288" w:lineRule="auto"/>
        <w:ind w:left="0"/>
        <w:jc w:val="center"/>
      </w:pPr>
      <w:r>
        <w:drawing>
          <wp:inline distT="0" distR="0" distB="0" distL="0">
            <wp:extent cx="5257800" cy="26289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628900"/>
                    </a:xfrm>
                    <a:prstGeom prst="rect">
                      <a:avLst/>
                    </a:prstGeom>
                  </pic:spPr>
                </pic:pic>
              </a:graphicData>
            </a:graphic>
          </wp:inline>
        </w:drawing>
      </w:r>
    </w:p>
    <w:p>
      <w:pPr>
        <w:spacing w:before="120" w:after="120" w:line="288" w:lineRule="auto"/>
        <w:ind w:left="0"/>
        <w:jc w:val="center"/>
      </w:pPr>
      <w:r>
        <w:drawing>
          <wp:inline distT="0" distR="0" distB="0" distL="0">
            <wp:extent cx="5257800" cy="12573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1257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项目变更清单</w:t>
      </w:r>
    </w:p>
    <w:p>
      <w:pPr>
        <w:spacing w:before="120" w:after="120" w:line="288" w:lineRule="auto"/>
        <w:ind w:left="0"/>
        <w:jc w:val="center"/>
      </w:pPr>
      <w:r>
        <w:drawing>
          <wp:inline distT="0" distR="0" distB="0" distL="0">
            <wp:extent cx="5257800" cy="10191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1019175"/>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三、项目整体回顾及评价</w:t>
      </w:r>
      <w:bookmarkEnd w:id="2"/>
    </w:p>
    <w:p>
      <w:pPr>
        <w:spacing w:before="120" w:after="120" w:line="288" w:lineRule="auto"/>
        <w:ind w:left="0"/>
        <w:jc w:val="left"/>
      </w:pPr>
      <w:r>
        <w:rPr>
          <w:rFonts w:eastAsia="等线" w:ascii="Arial" w:cs="Arial" w:hAnsi="Arial"/>
          <w:sz w:val="22"/>
          <w:shd w:fill="b7edb1"/>
        </w:rPr>
        <w:t>优点：</w:t>
      </w:r>
    </w:p>
    <w:p>
      <w:pPr>
        <w:spacing w:before="120" w:after="120" w:line="288" w:lineRule="auto"/>
        <w:ind w:left="0"/>
        <w:jc w:val="left"/>
      </w:pPr>
      <w:r>
        <w:rPr>
          <w:rFonts w:eastAsia="等线" w:ascii="Arial" w:cs="Arial" w:hAnsi="Arial"/>
          <w:sz w:val="22"/>
        </w:rPr>
        <w:t>1、项目按时上线，在中途插入</w:t>
      </w:r>
      <w:r>
        <w:rPr>
          <w:rFonts w:eastAsia="等线" w:ascii="Arial" w:cs="Arial" w:hAnsi="Arial"/>
          <w:sz w:val="22"/>
        </w:rPr>
        <w:t>心脏+</w:t>
      </w:r>
      <w:r>
        <w:rPr>
          <w:rFonts w:eastAsia="等线" w:ascii="Arial" w:cs="Arial" w:hAnsi="Arial"/>
          <w:sz w:val="22"/>
        </w:rPr>
        <w:t>项目的情况下，还能按时上线。</w:t>
      </w:r>
    </w:p>
    <w:p>
      <w:pPr>
        <w:spacing w:before="120" w:after="120" w:line="288" w:lineRule="auto"/>
        <w:ind w:left="0"/>
        <w:jc w:val="left"/>
      </w:pPr>
      <w:r>
        <w:rPr>
          <w:rFonts w:eastAsia="等线" w:ascii="Arial" w:cs="Arial" w:hAnsi="Arial"/>
          <w:sz w:val="22"/>
        </w:rPr>
        <w:t>2、任务分解比上个项目有所改进，大家都能在项目启动后及时输出项目计划。</w:t>
      </w:r>
    </w:p>
    <w:p>
      <w:pPr>
        <w:spacing w:before="120" w:after="120" w:line="288" w:lineRule="auto"/>
        <w:ind w:left="0"/>
        <w:jc w:val="left"/>
      </w:pPr>
      <w:r>
        <w:rPr>
          <w:rFonts w:eastAsia="等线" w:ascii="Arial" w:cs="Arial" w:hAnsi="Arial"/>
          <w:sz w:val="22"/>
        </w:rPr>
        <w:t>3、研发质量相比</w:t>
      </w:r>
      <w:r>
        <w:rPr>
          <w:rFonts w:eastAsia="等线" w:ascii="Arial" w:cs="Arial" w:hAnsi="Arial"/>
          <w:sz w:val="22"/>
        </w:rPr>
        <w:t>心知了</w:t>
      </w:r>
      <w:r>
        <w:rPr>
          <w:rFonts w:eastAsia="等线" w:ascii="Arial" w:cs="Arial" w:hAnsi="Arial"/>
          <w:sz w:val="22"/>
        </w:rPr>
        <w:t>3.0版本有很大提高缺陷密度降低了2倍</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fbbfbc"/>
        </w:rPr>
        <w:t>改进方向：</w:t>
      </w:r>
    </w:p>
    <w:p>
      <w:pPr>
        <w:spacing w:before="120" w:after="120" w:line="288" w:lineRule="auto"/>
        <w:ind w:left="0"/>
        <w:jc w:val="left"/>
      </w:pPr>
      <w:r>
        <w:rPr>
          <w:rFonts w:eastAsia="等线" w:ascii="Arial" w:cs="Arial" w:hAnsi="Arial"/>
          <w:sz w:val="22"/>
        </w:rPr>
        <w:t>1、研发团队在冒烟用例执行的时候只是对各个部分做了冒烟，没有进行全流程的冒烟。冒烟的执行需要加强。</w:t>
      </w:r>
    </w:p>
    <w:p>
      <w:pPr>
        <w:spacing w:before="120" w:after="120" w:line="288" w:lineRule="auto"/>
        <w:ind w:left="0"/>
        <w:jc w:val="left"/>
      </w:pPr>
      <w:r>
        <w:rPr>
          <w:rFonts w:eastAsia="等线" w:ascii="Arial" w:cs="Arial" w:hAnsi="Arial"/>
          <w:sz w:val="22"/>
        </w:rPr>
        <w:t>改进措施：研发冒烟用例执行演示作为工作成果移交通过会议形式向测试进行演示。</w:t>
      </w:r>
    </w:p>
    <w:p>
      <w:pPr>
        <w:spacing w:before="120" w:after="120" w:line="288" w:lineRule="auto"/>
        <w:ind w:left="0"/>
        <w:jc w:val="left"/>
      </w:pPr>
      <w:r>
        <w:rPr>
          <w:rFonts w:eastAsia="等线" w:ascii="Arial" w:cs="Arial" w:hAnsi="Arial"/>
          <w:sz w:val="22"/>
        </w:rPr>
        <w:t>2、项目进入测试阶段后，整体项目计划不好把控。</w:t>
      </w:r>
    </w:p>
    <w:p>
      <w:pPr>
        <w:spacing w:before="120" w:after="120" w:line="288" w:lineRule="auto"/>
        <w:ind w:left="0"/>
        <w:jc w:val="left"/>
      </w:pPr>
      <w:r>
        <w:rPr>
          <w:rFonts w:eastAsia="等线" w:ascii="Arial" w:cs="Arial" w:hAnsi="Arial"/>
          <w:sz w:val="22"/>
        </w:rPr>
        <w:t>改进措施：测试计划改为多轮测试，固定时间输出测试结果，基于测试结果开会讨论BUG修复计划</w:t>
      </w:r>
    </w:p>
    <w:p>
      <w:pPr>
        <w:spacing w:before="120" w:after="120" w:line="288" w:lineRule="auto"/>
        <w:ind w:left="0"/>
        <w:jc w:val="left"/>
      </w:pPr>
      <w:r>
        <w:rPr>
          <w:rFonts w:eastAsia="等线" w:ascii="Arial" w:cs="Arial" w:hAnsi="Arial"/>
          <w:sz w:val="22"/>
        </w:rPr>
        <w:t>3、每日站会互动性待加强，参与人员不全。</w:t>
      </w:r>
    </w:p>
    <w:p>
      <w:pPr>
        <w:spacing w:before="120" w:after="120" w:line="288" w:lineRule="auto"/>
        <w:ind w:left="0"/>
        <w:jc w:val="left"/>
      </w:pPr>
      <w:r>
        <w:rPr>
          <w:rFonts w:eastAsia="等线" w:ascii="Arial" w:cs="Arial" w:hAnsi="Arial"/>
          <w:sz w:val="22"/>
        </w:rPr>
        <w:t>改进措施：改为每人轮流主持站立会</w:t>
      </w:r>
    </w:p>
    <w:p>
      <w:pPr>
        <w:spacing w:before="120" w:after="120" w:line="288" w:lineRule="auto"/>
        <w:ind w:left="0"/>
        <w:jc w:val="left"/>
      </w:pPr>
      <w:r>
        <w:rPr>
          <w:rFonts w:eastAsia="等线" w:ascii="Arial" w:cs="Arial" w:hAnsi="Arial"/>
          <w:sz w:val="22"/>
        </w:rPr>
        <w:t>4、CMMI期间提出的改进建议：工作量只有计划工作量，没有实际工作量，没法进行项目的数据统计、分析和改进。</w:t>
      </w:r>
    </w:p>
    <w:p>
      <w:pPr>
        <w:spacing w:before="120" w:after="120" w:line="288" w:lineRule="auto"/>
        <w:ind w:left="0"/>
        <w:jc w:val="left"/>
      </w:pPr>
      <w:r>
        <w:rPr>
          <w:rFonts w:eastAsia="等线" w:ascii="Arial" w:cs="Arial" w:hAnsi="Arial"/>
          <w:sz w:val="22"/>
        </w:rPr>
        <w:t>5、项目期间长时间请假希望通过工作交接的方式进行，不建议进行远程保障，远程保障无法确保及时性，同时也让请假的同事无法安心处理私事。</w:t>
      </w:r>
    </w:p>
    <w:p>
      <w:pPr>
        <w:spacing w:before="120" w:after="120" w:line="288" w:lineRule="auto"/>
        <w:ind w:left="0"/>
        <w:jc w:val="left"/>
      </w:pPr>
      <w:r>
        <w:rPr>
          <w:rFonts w:eastAsia="等线" w:ascii="Arial" w:cs="Arial" w:hAnsi="Arial"/>
          <w:sz w:val="22"/>
        </w:rPr>
        <w:t>6、beta环境验证问题，目前碰到很多功能在beta环境无法验证</w:t>
      </w:r>
    </w:p>
    <w:p>
      <w:pPr>
        <w:spacing w:before="120" w:after="120" w:line="288" w:lineRule="auto"/>
        <w:ind w:left="0"/>
        <w:jc w:val="left"/>
      </w:pPr>
      <w:r>
        <w:rPr>
          <w:rFonts w:eastAsia="等线" w:ascii="Arial" w:cs="Arial" w:hAnsi="Arial"/>
          <w:sz w:val="22"/>
        </w:rPr>
        <w:t>改进措施：</w:t>
      </w:r>
      <w:r>
        <w:rPr>
          <w:rFonts w:eastAsia="等线" w:ascii="Arial" w:cs="Arial" w:hAnsi="Arial"/>
          <w:sz w:val="22"/>
        </w:rPr>
        <w:t>心脏+</w:t>
      </w:r>
      <w:r>
        <w:rPr>
          <w:rFonts w:eastAsia="等线" w:ascii="Arial" w:cs="Arial" w:hAnsi="Arial"/>
          <w:sz w:val="22"/>
        </w:rPr>
        <w:t>提供全流程Beta验证模式</w:t>
      </w:r>
    </w:p>
    <w:p>
      <w:pPr>
        <w:spacing w:before="120" w:after="120" w:line="288" w:lineRule="auto"/>
        <w:ind w:left="0"/>
        <w:jc w:val="left"/>
      </w:pPr>
    </w:p>
    <w:p>
      <w:pPr>
        <w:spacing w:before="120" w:after="120" w:line="288" w:lineRule="auto"/>
        <w:ind w:left="0"/>
        <w:jc w:val="left"/>
      </w:pPr>
      <w:r>
        <w:rPr>
          <w:rFonts w:eastAsia="等线" w:ascii="Arial" w:cs="Arial" w:hAnsi="Arial"/>
          <w:sz w:val="22"/>
        </w:rPr>
        <w:t>葛超翔：</w:t>
      </w:r>
    </w:p>
    <w:p>
      <w:pPr>
        <w:spacing w:before="120" w:after="120" w:line="288" w:lineRule="auto"/>
        <w:ind w:left="0"/>
        <w:jc w:val="left"/>
      </w:pPr>
      <w:r>
        <w:rPr>
          <w:rFonts w:eastAsia="等线" w:ascii="Arial" w:cs="Arial" w:hAnsi="Arial"/>
          <w:sz w:val="22"/>
        </w:rPr>
        <w:t>1、缺陷的流转在研发内部进行，不要让测试做中转，有问题可以在备注上补充。</w:t>
      </w:r>
    </w:p>
    <w:p>
      <w:pPr>
        <w:spacing w:before="120" w:after="120" w:line="288" w:lineRule="auto"/>
        <w:ind w:left="0"/>
        <w:jc w:val="left"/>
      </w:pPr>
      <w:r>
        <w:rPr>
          <w:rFonts w:eastAsia="等线" w:ascii="Arial" w:cs="Arial" w:hAnsi="Arial"/>
          <w:sz w:val="22"/>
        </w:rPr>
        <w:t>2、支持测试人员进行APP打包</w:t>
      </w:r>
    </w:p>
    <w:p>
      <w:pPr>
        <w:spacing w:before="120" w:after="120" w:line="288" w:lineRule="auto"/>
        <w:ind w:left="0"/>
        <w:jc w:val="left"/>
      </w:pPr>
      <w:r>
        <w:rPr>
          <w:rFonts w:eastAsia="等线" w:ascii="Arial" w:cs="Arial" w:hAnsi="Arial"/>
          <w:sz w:val="22"/>
        </w:rPr>
        <w:t>3、Android支持环境切换</w:t>
      </w:r>
    </w:p>
    <w:p>
      <w:pPr>
        <w:spacing w:before="120" w:after="120" w:line="288" w:lineRule="auto"/>
        <w:ind w:left="0"/>
        <w:jc w:val="left"/>
      </w:pPr>
      <w:r>
        <w:rPr>
          <w:rFonts w:eastAsia="等线" w:ascii="Arial" w:cs="Arial" w:hAnsi="Arial"/>
          <w:sz w:val="22"/>
        </w:rPr>
        <w:t>程峥：</w:t>
      </w:r>
    </w:p>
    <w:p>
      <w:pPr>
        <w:spacing w:before="120" w:after="120" w:line="288" w:lineRule="auto"/>
        <w:ind w:left="0"/>
        <w:jc w:val="left"/>
      </w:pPr>
      <w:r>
        <w:rPr>
          <w:rFonts w:eastAsia="等线" w:ascii="Arial" w:cs="Arial" w:hAnsi="Arial"/>
          <w:sz w:val="22"/>
        </w:rPr>
        <w:t>1、研发人员主动识别问题，以降低整体项目风险</w:t>
      </w:r>
    </w:p>
    <w:p>
      <w:pPr>
        <w:spacing w:before="120" w:after="120" w:line="288" w:lineRule="auto"/>
        <w:ind w:left="0"/>
        <w:jc w:val="left"/>
      </w:pPr>
      <w:r>
        <w:rPr>
          <w:rFonts w:eastAsia="等线" w:ascii="Arial" w:cs="Arial" w:hAnsi="Arial"/>
          <w:sz w:val="22"/>
        </w:rPr>
        <w:t>吕望来：</w:t>
      </w:r>
    </w:p>
    <w:p>
      <w:pPr>
        <w:spacing w:before="120" w:after="120" w:line="288" w:lineRule="auto"/>
        <w:ind w:left="0"/>
        <w:jc w:val="left"/>
      </w:pPr>
      <w:r>
        <w:rPr>
          <w:rFonts w:eastAsia="等线" w:ascii="Arial" w:cs="Arial" w:hAnsi="Arial"/>
          <w:sz w:val="22"/>
        </w:rPr>
        <w:t>1、PDR要补充兼容性、性能等非功能性需求，如果没有，可写无。</w:t>
      </w:r>
    </w:p>
    <w:p>
      <w:pPr>
        <w:spacing w:before="120" w:after="120" w:line="288" w:lineRule="auto"/>
        <w:ind w:left="0"/>
        <w:jc w:val="left"/>
      </w:pPr>
      <w:r>
        <w:rPr>
          <w:rFonts w:eastAsia="等线" w:ascii="Arial" w:cs="Arial" w:hAnsi="Arial"/>
          <w:sz w:val="22"/>
        </w:rPr>
        <w:t>2、每个项目都需要有技术要求</w:t>
      </w:r>
    </w:p>
    <w:p>
      <w:pPr>
        <w:spacing w:before="120" w:after="120" w:line="288" w:lineRule="auto"/>
        <w:ind w:left="0"/>
        <w:jc w:val="left"/>
      </w:pPr>
      <w:r>
        <w:rPr>
          <w:rFonts w:eastAsia="等线" w:ascii="Arial" w:cs="Arial" w:hAnsi="Arial"/>
          <w:sz w:val="22"/>
        </w:rPr>
        <w:t>金和龙：</w:t>
      </w:r>
    </w:p>
    <w:p>
      <w:pPr>
        <w:spacing w:before="120" w:after="120" w:line="288" w:lineRule="auto"/>
        <w:ind w:left="0"/>
        <w:jc w:val="left"/>
      </w:pPr>
      <w:r>
        <w:rPr>
          <w:rFonts w:eastAsia="等线" w:ascii="Arial" w:cs="Arial" w:hAnsi="Arial"/>
          <w:sz w:val="22"/>
        </w:rPr>
        <w:t>1、运营文案要尽早提供</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2025-12-30T11:54:13Z</dcterms:created>
  <dc:creator>Apache POI</dc:creator>
</cp:coreProperties>
</file>