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心知了App v2.6.13-心肌炎风险评估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1、业务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2、页面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3、功能需求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3.1、引导页</w:t>
      </w:r>
      <w:bookmarkEnd w:id="3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905000" cy="4133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1、用户升级完v2.6.13版本，第一次（</w:t>
      </w:r>
      <w:r>
        <w:rPr>
          <w:rFonts w:eastAsia="等线" w:ascii="Arial" w:cs="Arial" w:hAnsi="Arial"/>
          <w:b w:val="true"/>
          <w:color w:val="de7802"/>
          <w:sz w:val="22"/>
        </w:rPr>
        <w:t>有且只有一次</w:t>
      </w:r>
      <w:r>
        <w:rPr>
          <w:rFonts w:eastAsia="等线" w:ascii="Arial" w:cs="Arial" w:hAnsi="Arial"/>
          <w:sz w:val="22"/>
        </w:rPr>
        <w:t>）登录心知了App，首页弹框提示上线“心肌炎风险评估”功能；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2、点击“知道了”，关闭弹框；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3、点击“去评估”，跳转“心肌炎风险评估介绍页”；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4、弹框文案—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心肌炎风险评估功能上线啦, 邀请您一起参与!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3.2、活动介绍页</w:t>
      </w:r>
      <w:bookmarkEnd w:id="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95750" cy="3981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1、点击“测一条，去评估”按钮，跳转“准备测量页”—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跳转前，进行已绑定设备判定—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a)已绑定</w:t>
      </w:r>
      <w:r>
        <w:rPr>
          <w:rFonts w:eastAsia="等线" w:ascii="Arial" w:cs="Arial" w:hAnsi="Arial"/>
          <w:b w:val="true"/>
          <w:color w:val="de7802"/>
          <w:sz w:val="22"/>
        </w:rPr>
        <w:t>“心电卡片” 或 “心电表带”</w:t>
      </w:r>
      <w:r>
        <w:rPr>
          <w:rFonts w:eastAsia="等线" w:ascii="Arial" w:cs="Arial" w:hAnsi="Arial"/>
          <w:sz w:val="22"/>
        </w:rPr>
        <w:t>，直接跳转；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b)未绑定</w:t>
      </w:r>
      <w:r>
        <w:rPr>
          <w:rFonts w:eastAsia="等线" w:ascii="Arial" w:cs="Arial" w:hAnsi="Arial"/>
          <w:b w:val="true"/>
          <w:color w:val="de7802"/>
          <w:sz w:val="22"/>
        </w:rPr>
        <w:t>“心电卡片” 或 “心电表带”</w:t>
      </w:r>
      <w:r>
        <w:rPr>
          <w:rFonts w:eastAsia="等线" w:ascii="Arial" w:cs="Arial" w:hAnsi="Arial"/>
          <w:sz w:val="22"/>
        </w:rPr>
        <w:t>，弹框提示“暂无设备”，支持“去购买”、“去添加”或“关闭按钮”—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b.1)“去购买”，跳转“心知了小程序心电卡片”购买详情页（</w:t>
      </w:r>
      <w:r>
        <w:rPr>
          <w:rFonts w:eastAsia="等线" w:ascii="Arial" w:cs="Arial" w:hAnsi="Arial"/>
          <w:b w:val="true"/>
          <w:color w:val="de7802"/>
          <w:sz w:val="22"/>
        </w:rPr>
        <w:t>暂定</w:t>
      </w:r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b.2)“去添加”，复用添加设备流程—</w:t>
      </w:r>
    </w:p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952500" cy="2057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b.3)“关闭”图标，点击关闭图标当前弹框；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2、点击“历史记录评估”按钮，跳转“测量记录页”；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3、介绍文案—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Q：感染新冠病毒对心脏有损伤吗？：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A：是的。美国南卡罗莱纳大学医学院发表的最新研究指出，在高脂饮食诱导的肥胖小鼠体内，新冠病毒的S蛋白可以诱导心肌细胞线粒体代谢相关基因的长期转录抑制，并导致心肌纤维化和收缩能力损伤。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Q：什么是心肌炎？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A：心肌炎是心肌的炎症性病变，可由感染（如病毒、细菌或真菌）或非感染因素（如自身免疫疾病等）引起，其中以引起肠道和上呼吸道感染的各种病毒最多见。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Q：感染心肌炎后有什么症状表现？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A：早期心肌炎主要表现为疲乏无力、胸闷气短、心悸、头晕、食欲不振、恶心、呕吐、呼吸困难、胸痛等；轻度病毒性心肌炎则会出现心律失常，心动过速或缓慢等症状。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Q：心电图（ECG）检查可以发现心肌炎风险吗？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A：ECG对心律失常的监测非常重要，心肌炎患者的心电图表现可能有：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1、心率快，正常情况都是100以上。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2、</w:t>
            </w:r>
            <w:r>
              <w:rPr>
                <w:rFonts w:eastAsia="等线" w:ascii="Arial" w:cs="Arial" w:hAnsi="Arial"/>
                <w:color w:val="646a73"/>
                <w:sz w:val="22"/>
              </w:rPr>
              <w:t>ST</w:t>
            </w:r>
            <w:r>
              <w:rPr>
                <w:rFonts w:eastAsia="等线" w:ascii="Arial" w:cs="Arial" w:hAnsi="Arial"/>
                <w:color w:val="646a73"/>
                <w:sz w:val="22"/>
              </w:rPr>
              <w:t>压低T波倒置。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3、出现传导阻滞。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4、出现早搏。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5、发生心衰等严重心律失常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4、弹框文案—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您尚未添加“心电记录仪”，无法进行评估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3.3、测量准备页/测量中...页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95750" cy="4133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1、活动介绍页点击“测一条，去评估”按钮—&gt;跳入当前页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2、页面功能复用；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3、测量完成，跳转“</w:t>
      </w:r>
      <w:r>
        <w:rPr>
          <w:rFonts w:eastAsia="等线" w:ascii="Arial" w:cs="Arial" w:hAnsi="Arial"/>
          <w:b w:val="true"/>
          <w:color w:val="de7802"/>
          <w:sz w:val="22"/>
        </w:rPr>
        <w:t>调查</w:t>
      </w:r>
      <w:r>
        <w:rPr>
          <w:rFonts w:eastAsia="等线" w:ascii="Arial" w:cs="Arial" w:hAnsi="Arial"/>
          <w:b w:val="true"/>
          <w:color w:val="de7802"/>
          <w:sz w:val="22"/>
        </w:rPr>
        <w:t>问卷</w:t>
      </w:r>
      <w:r>
        <w:rPr>
          <w:rFonts w:eastAsia="等线" w:ascii="Arial" w:cs="Arial" w:hAnsi="Arial"/>
          <w:b w:val="true"/>
          <w:color w:val="de7802"/>
          <w:sz w:val="22"/>
        </w:rPr>
        <w:t>页</w:t>
      </w:r>
      <w:r>
        <w:rPr>
          <w:rFonts w:eastAsia="等线" w:ascii="Arial" w:cs="Arial" w:hAnsi="Arial"/>
          <w:sz w:val="22"/>
        </w:rPr>
        <w:t>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3.4、测量记录页</w:t>
      </w:r>
      <w:bookmarkEnd w:id="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905000" cy="3638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1、活动介绍页点击“历史记录评估”按钮—&gt;跳入当前页；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2、列表展示逻辑和筛选条件—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展示按测量时间倒序排列；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展示静态记录；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展示未进行心肌炎风险评估的记录；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展示非干扰/左右手接反等无法评估记录；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3、“心电记录卡片”样式进行改版，详情见“</w:t>
      </w:r>
      <w:r>
        <w:rPr>
          <w:rFonts w:eastAsia="等线" w:ascii="Arial" w:cs="Arial" w:hAnsi="Arial"/>
          <w:b w:val="true"/>
          <w:color w:val="de7802"/>
          <w:sz w:val="22"/>
        </w:rPr>
        <w:t>记录页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4、点击“心电记录卡片”，跳转“</w:t>
      </w:r>
      <w:r>
        <w:rPr>
          <w:rFonts w:eastAsia="等线" w:ascii="Arial" w:cs="Arial" w:hAnsi="Arial"/>
          <w:b w:val="true"/>
          <w:color w:val="de7802"/>
          <w:sz w:val="22"/>
        </w:rPr>
        <w:t>调查</w:t>
      </w:r>
      <w:r>
        <w:rPr>
          <w:rFonts w:eastAsia="等线" w:ascii="Arial" w:cs="Arial" w:hAnsi="Arial"/>
          <w:b w:val="true"/>
          <w:color w:val="de7802"/>
          <w:sz w:val="22"/>
        </w:rPr>
        <w:t>问卷</w:t>
      </w:r>
      <w:r>
        <w:rPr>
          <w:rFonts w:eastAsia="等线" w:ascii="Arial" w:cs="Arial" w:hAnsi="Arial"/>
          <w:b w:val="true"/>
          <w:color w:val="de7802"/>
          <w:sz w:val="22"/>
        </w:rPr>
        <w:t>页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5、无测量数据，显示“</w:t>
      </w:r>
      <w:r>
        <w:rPr>
          <w:rFonts w:eastAsia="等线" w:ascii="Arial" w:cs="Arial" w:hAnsi="Arial"/>
          <w:b w:val="true"/>
          <w:color w:val="de7802"/>
          <w:sz w:val="22"/>
        </w:rPr>
        <w:t>暂无数据页</w:t>
      </w:r>
      <w:r>
        <w:rPr>
          <w:rFonts w:eastAsia="等线" w:ascii="Arial" w:cs="Arial" w:hAnsi="Arial"/>
          <w:sz w:val="22"/>
        </w:rPr>
        <w:t>”；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3.5、调查</w:t>
      </w:r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页</w:t>
      </w:r>
      <w:bookmarkEnd w:id="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95750" cy="3981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1、“XXXX人已测”，后台获取，最小值1000；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2、提示文案—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预计2分钟（共11题）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sz w:val="22"/>
        </w:rPr>
        <w:t>问卷</w:t>
      </w:r>
      <w:r>
        <w:rPr>
          <w:rFonts w:eastAsia="等线" w:ascii="Arial" w:cs="Arial" w:hAnsi="Arial"/>
          <w:sz w:val="22"/>
        </w:rPr>
        <w:t>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1、近1-3年内是否有心肌损伤的情况？（无/有）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2、近1-3周是否有发热症状？（无/有，但低于38.5度/有，高于38.5度）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3、近1-3周是否有咽痛症状？（无/有，但可忍受/有，疼痛难忍）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4、近1-3周是否有咳嗽症状？（无/有，轻微可控制/有，经常且不可控制）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5、近1-3周是否有胸闷，胸痛等症状？（无/有，但休息可缓解/有，持续时间较长）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6、近1-3周是否有心慌。呼吸困难等症状？（无/有，但休息可缓解/有，持续时间较长）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7、近1-3周是否有恶心呕吐症状？（无/有，但只觉得恶心，无呕吐/有，且呕吐过）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8、近1-3周是否有全身酸痛症状？（无/有，但可以忍受/有，疼痛难忍）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9、近1-3周是否有腹泻症状？（无/有，但很偶尔/有，经常）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10、近1-3周是否有四肢乏力症状？（无/有，但休息后可缓解/有，且不可缓解）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11、近1-3周是否有做过心脏超声，心肌酶谱等相关检查？（无/有，指标无异常/有，指标异常）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4、用户提交内容，上传算法；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5、支持前一问、后一问切换，第一问（向前置灰）和最后一问（向后置灰）；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6、第一题，展示“复用上次”按钮，点击复用上次用户提交答案，</w:t>
      </w:r>
      <w:r>
        <w:rPr>
          <w:rFonts w:eastAsia="等线" w:ascii="Arial" w:cs="Arial" w:hAnsi="Arial"/>
          <w:b w:val="true"/>
          <w:color w:val="de7802"/>
          <w:sz w:val="22"/>
        </w:rPr>
        <w:t>如用户第一次提交，该按钮不可点击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7、提交问题完毕，跳转“</w:t>
      </w:r>
      <w:r>
        <w:rPr>
          <w:rFonts w:eastAsia="等线" w:ascii="Arial" w:cs="Arial" w:hAnsi="Arial"/>
          <w:b w:val="true"/>
          <w:color w:val="de7802"/>
          <w:sz w:val="22"/>
        </w:rPr>
        <w:t>过渡页</w:t>
      </w:r>
      <w:r>
        <w:rPr>
          <w:rFonts w:eastAsia="等线" w:ascii="Arial" w:cs="Arial" w:hAnsi="Arial"/>
          <w:sz w:val="22"/>
        </w:rPr>
        <w:t>”；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3.6、过渡页</w:t>
      </w:r>
      <w:bookmarkEnd w:id="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905000" cy="36576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1、动画持续时间"</w:t>
      </w:r>
      <w:r>
        <w:rPr>
          <w:rFonts w:eastAsia="等线" w:ascii="Arial" w:cs="Arial" w:hAnsi="Arial"/>
          <w:b w:val="true"/>
          <w:color w:val="de7802"/>
          <w:sz w:val="22"/>
        </w:rPr>
        <w:t>最短3s-最长30s</w:t>
      </w:r>
      <w:r>
        <w:rPr>
          <w:rFonts w:eastAsia="等线" w:ascii="Arial" w:cs="Arial" w:hAnsi="Arial"/>
          <w:sz w:val="22"/>
        </w:rPr>
        <w:t>"，以算法返回结果为终止，最大为30s，跳转“心肌炎风险评估结果页”；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2、滚动文案—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判断心率超限、判断房室阻滞、判断</w:t>
            </w:r>
            <w:r>
              <w:rPr>
                <w:rFonts w:eastAsia="等线" w:ascii="Arial" w:cs="Arial" w:hAnsi="Arial"/>
                <w:color w:val="646a73"/>
                <w:sz w:val="22"/>
              </w:rPr>
              <w:t>ST</w:t>
            </w:r>
            <w:r>
              <w:rPr>
                <w:rFonts w:eastAsia="等线" w:ascii="Arial" w:cs="Arial" w:hAnsi="Arial"/>
                <w:color w:val="646a73"/>
                <w:sz w:val="22"/>
              </w:rPr>
              <w:t>段抬高、判断ST段压低、判断T波振幅、判断</w:t>
            </w:r>
            <w:r>
              <w:rPr>
                <w:rFonts w:eastAsia="等线" w:ascii="Arial" w:cs="Arial" w:hAnsi="Arial"/>
                <w:color w:val="646a73"/>
                <w:sz w:val="22"/>
              </w:rPr>
              <w:t>PR</w:t>
            </w:r>
            <w:r>
              <w:rPr>
                <w:rFonts w:eastAsia="等线" w:ascii="Arial" w:cs="Arial" w:hAnsi="Arial"/>
                <w:color w:val="646a73"/>
                <w:sz w:val="22"/>
              </w:rPr>
              <w:t>间期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3、提示文案—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本测试及结果仅供参考，如有不适，请及时问诊就医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4、如超过30s，算法未返回结果，提示“系统繁忙，请稍后重试”，并关闭当前页；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5、算法返回结果，跳转“</w:t>
      </w:r>
      <w:r>
        <w:rPr>
          <w:rFonts w:eastAsia="等线" w:ascii="Arial" w:cs="Arial" w:hAnsi="Arial"/>
          <w:b w:val="true"/>
          <w:color w:val="de7802"/>
          <w:sz w:val="22"/>
        </w:rPr>
        <w:t>评估结果页</w:t>
      </w:r>
      <w:r>
        <w:rPr>
          <w:rFonts w:eastAsia="等线" w:ascii="Arial" w:cs="Arial" w:hAnsi="Arial"/>
          <w:sz w:val="22"/>
        </w:rPr>
        <w:t>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3.7、评估结果页</w:t>
      </w:r>
      <w:bookmarkEnd w:id="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810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1、心电图组件，复用；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2、评估指标—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算法返回，异常展示在当前页，正常指标收起，样式复用心电分析指标；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指标分为，指标名称、参考值、测量值、异常标识（向上/向下箭头）；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点击异常指标，跳转该指标的“指标解释”；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点击全部指标，跳转“全部评估指标分析”；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点击全部指标里的某个指标，跳转该指标的“指标解释”；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3、根据算法返回，展示“风险等级风险数值”、“心肌炎风险评估文案”，</w:t>
      </w:r>
      <w:r>
        <w:rPr>
          <w:rFonts w:eastAsia="等线" w:ascii="Arial" w:cs="Arial" w:hAnsi="Arial"/>
          <w:b w:val="true"/>
          <w:color w:val="de7802"/>
          <w:sz w:val="22"/>
        </w:rPr>
        <w:t>低风险/无风险不展示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4、根据算法返回，展示“处置建议”；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5、根据算法返回，展示“心肌炎异常分析”；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6、根据算法返回，展示“心肌炎相关知识”，点击“查看更多”，跳转“心肌炎相关知识页”，该页面支持分享；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7、根据算法返回，展示“建议下次测量时间”与“测量建议文案”；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8、展示24小时动态心电监测仪广告位，点击跳转小程序商城”购买（</w:t>
      </w:r>
      <w:r>
        <w:rPr>
          <w:rFonts w:eastAsia="等线" w:ascii="Arial" w:cs="Arial" w:hAnsi="Arial"/>
          <w:b w:val="true"/>
          <w:color w:val="de7802"/>
          <w:sz w:val="22"/>
        </w:rPr>
        <w:t>暂定</w:t>
      </w:r>
      <w:r>
        <w:rPr>
          <w:rFonts w:eastAsia="等线" w:ascii="Arial" w:cs="Arial" w:hAnsi="Arial"/>
          <w:sz w:val="22"/>
        </w:rPr>
        <w:t>）；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3.8、首页</w:t>
      </w:r>
      <w:bookmarkEnd w:id="1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905000" cy="4133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1、点击“心肌炎风险评估</w:t>
      </w:r>
      <w:r>
        <w:rPr>
          <w:rFonts w:eastAsia="等线" w:ascii="Arial" w:cs="Arial" w:hAnsi="Arial"/>
          <w:sz w:val="22"/>
        </w:rPr>
        <w:t>Banner</w:t>
      </w:r>
      <w:r>
        <w:rPr>
          <w:rFonts w:eastAsia="等线" w:ascii="Arial" w:cs="Arial" w:hAnsi="Arial"/>
          <w:sz w:val="22"/>
        </w:rPr>
        <w:t>页”，跳转“</w:t>
      </w:r>
      <w:r>
        <w:rPr>
          <w:rFonts w:eastAsia="等线" w:ascii="Arial" w:cs="Arial" w:hAnsi="Arial"/>
          <w:b w:val="true"/>
          <w:color w:val="de7802"/>
          <w:sz w:val="22"/>
        </w:rPr>
        <w:t>心肌炎风险评估介绍页</w:t>
      </w:r>
      <w:r>
        <w:rPr>
          <w:rFonts w:eastAsia="等线" w:ascii="Arial" w:cs="Arial" w:hAnsi="Arial"/>
          <w:sz w:val="22"/>
        </w:rPr>
        <w:t>”；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3.9、记录页</w:t>
      </w:r>
      <w:bookmarkEnd w:id="1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905000" cy="4133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1、心电图记录卡片（测量记录和服务记录）—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已完成“心肌炎风险评估”的心电数据，打上“已评估</w:t>
      </w:r>
      <w:r>
        <w:rPr>
          <w:rFonts w:eastAsia="等线" w:ascii="Arial" w:cs="Arial" w:hAnsi="Arial"/>
          <w:sz w:val="22"/>
        </w:rPr>
        <w:t>标签</w:t>
      </w:r>
      <w:r>
        <w:rPr>
          <w:rFonts w:eastAsia="等线" w:ascii="Arial" w:cs="Arial" w:hAnsi="Arial"/>
          <w:sz w:val="22"/>
        </w:rPr>
        <w:t>“；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点击“心电图记录卡片”，跳转“心电详情页”；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524000" cy="8763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展示字段，免费结论、动态监测/静态监测标识、平均心率、已评估/已分析/已解读标识、XXXX开始测量，持续XX小时（例：1/28 1:45开始测量，持续24小时48分钟45s）；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心电图，支持</w:t>
      </w:r>
      <w:r>
        <w:rPr>
          <w:rFonts w:eastAsia="等线" w:ascii="Arial" w:cs="Arial" w:hAnsi="Arial"/>
          <w:b w:val="true"/>
          <w:color w:val="de7802"/>
          <w:sz w:val="22"/>
        </w:rPr>
        <w:t>滑动查看</w:t>
      </w:r>
      <w:r>
        <w:rPr>
          <w:rFonts w:eastAsia="等线" w:ascii="Arial" w:cs="Arial" w:hAnsi="Arial"/>
          <w:sz w:val="22"/>
        </w:rPr>
        <w:t>交互；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3.10、详情页</w:t>
      </w:r>
      <w:bookmarkEnd w:id="1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95750" cy="49530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1、原有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分析结果页退为“</w:t>
      </w:r>
      <w:r>
        <w:rPr>
          <w:rFonts w:eastAsia="等线" w:ascii="Arial" w:cs="Arial" w:hAnsi="Arial"/>
          <w:b w:val="true"/>
          <w:color w:val="de7802"/>
          <w:sz w:val="22"/>
        </w:rPr>
        <w:t>二级页面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2、详情页统一使用“</w:t>
      </w:r>
      <w:r>
        <w:rPr>
          <w:rFonts w:eastAsia="等线" w:ascii="Arial" w:cs="Arial" w:hAnsi="Arial"/>
          <w:b w:val="true"/>
          <w:color w:val="de7802"/>
          <w:sz w:val="22"/>
        </w:rPr>
        <w:t>心脏+页面展示结构</w:t>
      </w:r>
      <w:r>
        <w:rPr>
          <w:rFonts w:eastAsia="等线" w:ascii="Arial" w:cs="Arial" w:hAnsi="Arial"/>
          <w:sz w:val="22"/>
        </w:rPr>
        <w:t>”，除“心脏里程”；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3、新增“心肌炎风险评估卡片”，新增“去评估”按钮-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升级后，第一次进入心电详情页，“心肌炎风险评估卡片”高亮显示—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a)点击“去评估”按钮，跳转“评估</w:t>
      </w:r>
      <w:r>
        <w:rPr>
          <w:rFonts w:eastAsia="等线" w:ascii="Arial" w:cs="Arial" w:hAnsi="Arial"/>
          <w:sz w:val="22"/>
        </w:rPr>
        <w:t>问卷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b)“去评估”按钮变为“去查看”按钮，展示“风险等级”点击支持跳转“心肌炎风险评估结果页”;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color w:val="de7802"/>
          <w:sz w:val="22"/>
        </w:rPr>
        <w:t>极速心电图（ECG）分析（展示</w:t>
      </w:r>
      <w:r>
        <w:rPr>
          <w:rFonts w:eastAsia="等线" w:ascii="Arial" w:cs="Arial" w:hAnsi="Arial"/>
          <w:b w:val="true"/>
          <w:color w:val="de7802"/>
          <w:sz w:val="22"/>
        </w:rPr>
        <w:t>AI</w:t>
      </w:r>
      <w:r>
        <w:rPr>
          <w:rFonts w:eastAsia="等线" w:ascii="Arial" w:cs="Arial" w:hAnsi="Arial"/>
          <w:b w:val="true"/>
          <w:color w:val="de7802"/>
          <w:sz w:val="22"/>
        </w:rPr>
        <w:t>分析结果）？</w:t>
      </w:r>
      <w:r>
        <w:rPr>
          <w:rFonts w:eastAsia="等线" w:ascii="Arial" w:cs="Arial" w:hAnsi="Arial"/>
          <w:sz w:val="22"/>
        </w:rPr>
        <w:t>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a)</w:t>
      </w:r>
      <w:r>
        <w:rPr>
          <w:rFonts w:eastAsia="等线" w:ascii="Arial" w:cs="Arial" w:hAnsi="Arial"/>
          <w:b w:val="true"/>
          <w:color w:val="de7802"/>
          <w:sz w:val="22"/>
        </w:rPr>
        <w:t>是否可以将心率变异性指数、心脏疾病风险评估、精神压力指数、疲劳指数放入</w:t>
      </w:r>
      <w:r>
        <w:rPr>
          <w:rFonts w:eastAsia="等线" w:ascii="Arial" w:cs="Arial" w:hAnsi="Arial"/>
          <w:b w:val="true"/>
          <w:color w:val="de7802"/>
          <w:sz w:val="22"/>
        </w:rPr>
        <w:t>AI</w:t>
      </w:r>
      <w:r>
        <w:rPr>
          <w:rFonts w:eastAsia="等线" w:ascii="Arial" w:cs="Arial" w:hAnsi="Arial"/>
          <w:b w:val="true"/>
          <w:color w:val="de7802"/>
          <w:sz w:val="22"/>
        </w:rPr>
        <w:t>免费结果？（拉频次）；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b)未使用付费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分析的，只展示免费结论，下方收起。当存在对应值时，展示对应值；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点击进入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分析结果页（复用）；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4、心电图（ECG）深度解读（医生解读）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a)未解读，点击发起医生解读申请（复用流程/界面）；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b)已解读，点击查看医生解读结果（复用流程/界面）；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4、非功能需求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待运营提供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5、需求list</w:t>
      </w:r>
      <w:bookmarkEnd w:id="1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20" o:title=""/>
          </v:shape>
          <o:OLEObject DrawAspect="Icon" ObjectID="_1718471219" ProgID="Excel.Sheet.12" ShapeID="_x0000_i1025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     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工作量评估</w:t>
      </w:r>
      <w:bookmarkEnd w:id="15"/>
    </w:p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心知了App v2.6.13-心肌炎风险评估 工作量评估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55518">
    <w:lvl>
      <w:numFmt w:val="bullet"/>
      <w:suff w:val="tab"/>
      <w:lvlText w:val="￮"/>
      <w:rPr>
        <w:color w:val="3370ff"/>
      </w:rPr>
    </w:lvl>
  </w:abstractNum>
  <w:abstractNum w:abstractNumId="1155519">
    <w:lvl>
      <w:numFmt w:val="bullet"/>
      <w:suff w:val="tab"/>
      <w:lvlText w:val="￮"/>
      <w:rPr>
        <w:color w:val="3370ff"/>
      </w:rPr>
    </w:lvl>
  </w:abstractNum>
  <w:abstractNum w:abstractNumId="1155520">
    <w:lvl>
      <w:numFmt w:val="bullet"/>
      <w:suff w:val="tab"/>
      <w:lvlText w:val="￮"/>
      <w:rPr>
        <w:color w:val="3370ff"/>
      </w:rPr>
    </w:lvl>
  </w:abstractNum>
  <w:abstractNum w:abstractNumId="1155521">
    <w:lvl>
      <w:numFmt w:val="bullet"/>
      <w:suff w:val="tab"/>
      <w:lvlText w:val="￮"/>
      <w:rPr>
        <w:color w:val="3370ff"/>
      </w:rPr>
    </w:lvl>
  </w:abstractNum>
  <w:abstractNum w:abstractNumId="1155522">
    <w:lvl>
      <w:numFmt w:val="bullet"/>
      <w:suff w:val="tab"/>
      <w:lvlText w:val="•"/>
      <w:rPr>
        <w:color w:val="3370ff"/>
      </w:rPr>
    </w:lvl>
  </w:abstractNum>
  <w:abstractNum w:abstractNumId="1155523">
    <w:lvl>
      <w:numFmt w:val="bullet"/>
      <w:suff w:val="tab"/>
      <w:lvlText w:val="•"/>
      <w:rPr>
        <w:color w:val="3370ff"/>
      </w:rPr>
    </w:lvl>
  </w:abstractNum>
  <w:abstractNum w:abstractNumId="1155524">
    <w:lvl>
      <w:numFmt w:val="bullet"/>
      <w:suff w:val="tab"/>
      <w:lvlText w:val="•"/>
      <w:rPr>
        <w:color w:val="3370ff"/>
      </w:rPr>
    </w:lvl>
  </w:abstractNum>
  <w:abstractNum w:abstractNumId="1155525">
    <w:lvl>
      <w:numFmt w:val="bullet"/>
      <w:suff w:val="tab"/>
      <w:lvlText w:val="•"/>
      <w:rPr>
        <w:color w:val="3370ff"/>
      </w:rPr>
    </w:lvl>
  </w:abstractNum>
  <w:abstractNum w:abstractNumId="1155526">
    <w:lvl>
      <w:numFmt w:val="bullet"/>
      <w:suff w:val="tab"/>
      <w:lvlText w:val="•"/>
      <w:rPr>
        <w:color w:val="3370ff"/>
      </w:rPr>
    </w:lvl>
  </w:abstractNum>
  <w:abstractNum w:abstractNumId="1155527">
    <w:lvl>
      <w:numFmt w:val="bullet"/>
      <w:suff w:val="tab"/>
      <w:lvlText w:val="•"/>
      <w:rPr>
        <w:color w:val="3370ff"/>
      </w:rPr>
    </w:lvl>
  </w:abstractNum>
  <w:abstractNum w:abstractNumId="1155528">
    <w:lvl>
      <w:numFmt w:val="bullet"/>
      <w:suff w:val="tab"/>
      <w:lvlText w:val="•"/>
      <w:rPr>
        <w:color w:val="3370ff"/>
      </w:rPr>
    </w:lvl>
  </w:abstractNum>
  <w:abstractNum w:abstractNumId="1155529">
    <w:lvl>
      <w:numFmt w:val="bullet"/>
      <w:suff w:val="tab"/>
      <w:lvlText w:val="•"/>
      <w:rPr>
        <w:color w:val="3370ff"/>
      </w:rPr>
    </w:lvl>
  </w:abstractNum>
  <w:abstractNum w:abstractNumId="1155530">
    <w:lvl>
      <w:numFmt w:val="bullet"/>
      <w:suff w:val="tab"/>
      <w:lvlText w:val="•"/>
      <w:rPr>
        <w:color w:val="3370ff"/>
      </w:rPr>
    </w:lvl>
  </w:abstractNum>
  <w:num w:numId="1">
    <w:abstractNumId w:val="1155518"/>
  </w:num>
  <w:num w:numId="2">
    <w:abstractNumId w:val="1155519"/>
  </w:num>
  <w:num w:numId="3">
    <w:abstractNumId w:val="1155520"/>
  </w:num>
  <w:num w:numId="4">
    <w:abstractNumId w:val="1155521"/>
  </w:num>
  <w:num w:numId="5">
    <w:abstractNumId w:val="1155522"/>
  </w:num>
  <w:num w:numId="6">
    <w:abstractNumId w:val="1155523"/>
  </w:num>
  <w:num w:numId="7">
    <w:abstractNumId w:val="1155524"/>
  </w:num>
  <w:num w:numId="8">
    <w:abstractNumId w:val="1155525"/>
  </w:num>
  <w:num w:numId="9">
    <w:abstractNumId w:val="1155526"/>
  </w:num>
  <w:num w:numId="10">
    <w:abstractNumId w:val="1155527"/>
  </w:num>
  <w:num w:numId="11">
    <w:abstractNumId w:val="1155528"/>
  </w:num>
  <w:num w:numId="12">
    <w:abstractNumId w:val="1155529"/>
  </w:num>
  <w:num w:numId="13">
    <w:abstractNumId w:val="11555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numbering.xml" Type="http://schemas.openxmlformats.org/officeDocument/2006/relationships/numbering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embeddings/Microsoft_Excel_Worksheet1.xlsx" Type="http://schemas.openxmlformats.org/officeDocument/2006/relationships/pack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https://newhope1982.feishu.cn/sheets/shtcncxFt7ULPORJOPMHG3Tozpc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2025-12-30T11:53:29Z</dcterms:created>
  <dc:creator>Apache POI</dc:creator>
</cp:coreProperties>
</file>