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</w:t>
      </w:r>
      <w:r>
        <w:rPr>
          <w:rFonts w:eastAsia="等线" w:ascii="Arial" w:cs="Arial" w:hAnsi="Arial"/>
          <w:b w:val="true"/>
          <w:sz w:val="52"/>
        </w:rPr>
        <w:t>v3.0.2  对接华为health Kit数据-心电&amp;血压技术评审文档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版本号：V3.0.0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创建日期：2023-02-28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产品管理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产品下的套餐变更为服务，新增数量，有效期，订单模式，医生级别，服务类型（基础服务，第三方服务）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公司管理-权益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权益部分直接关联产品去套餐概念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产品管理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功能接口说明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六、 非功能需求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227391">
    <w:lvl>
      <w:numFmt w:val="bullet"/>
      <w:suff w:val="tab"/>
      <w:lvlText w:val="•"/>
      <w:rPr>
        <w:color w:val="3370ff"/>
      </w:rPr>
    </w:lvl>
  </w:abstractNum>
  <w:num w:numId="1">
    <w:abstractNumId w:val="12273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2025-12-30T11:53:43Z</dcterms:created>
  <dc:creator>Apache POI</dc:creator>
</cp:coreProperties>
</file>