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智能纪要：华为解读服务讨论 2025年6月30日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会议主题：华为解读服务讨论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会议时间：6月30号（周一） 16:28 - 17:30 （GMT+08）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参会人：</w:t>
            </w:r>
            <w:r>
              <w:rPr>
                <w:rFonts w:eastAsia="等线" w:ascii="Arial" w:cs="Arial" w:hAnsi="Arial"/>
                <w:color w:val="3370ff"/>
                <w:sz w:val="22"/>
              </w:rPr>
              <w:t>@周琰翔</w:t>
            </w:r>
            <w:r>
              <w:rPr>
                <w:rFonts w:eastAsia="等线" w:ascii="Arial" w:cs="Arial" w:hAnsi="Arial"/>
                <w:color w:val="3370ff"/>
                <w:sz w:val="22"/>
              </w:rPr>
              <w:t>@鲍淑娟</w:t>
            </w:r>
            <w:r>
              <w:rPr>
                <w:rFonts w:eastAsia="等线" w:ascii="Arial" w:cs="Arial" w:hAnsi="Arial"/>
                <w:color w:val="3370ff"/>
                <w:sz w:val="22"/>
              </w:rPr>
              <w:t>@符灵建</w:t>
            </w:r>
            <w:r>
              <w:rPr>
                <w:rFonts w:eastAsia="等线" w:ascii="Arial" w:cs="Arial" w:hAnsi="Arial"/>
                <w:color w:val="3370ff"/>
                <w:sz w:val="22"/>
              </w:rPr>
              <w:t>@李亮</w:t>
            </w:r>
            <w:r>
              <w:rPr>
                <w:rFonts w:eastAsia="等线" w:ascii="Arial" w:cs="Arial" w:hAnsi="Arial"/>
                <w:color w:val="3370ff"/>
                <w:sz w:val="22"/>
              </w:rPr>
              <w:t>@王健</w:t>
            </w:r>
            <w:r>
              <w:rPr>
                <w:rFonts w:eastAsia="等线" w:ascii="Arial" w:cs="Arial" w:hAnsi="Arial"/>
                <w:color w:val="3370ff"/>
                <w:sz w:val="22"/>
              </w:rPr>
              <w:t>@张检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智能会议纪要由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本次会议围绕与华为合作项目的业务调整、数据保留及协议依据等问题展开讨论，确定了相关业务调整时间节点、数据处理方式和沟通要点，内容如下：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业务调整安排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解读报告入口关闭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关闭范围确定：周琰翔提出需关闭解读报告页面购买入口，包括针对老用户已解读服务的续购入口，单次和套餐同时关闭。李亮表示该入口在华为 H5 页面嵌着，但不确定具体位置，需天津截图确认。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页面调整确认：关闭入口后，需确认页面是否需要调整，且要明确是全部用户统一关闭。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新用户免费解读停止</w:t>
      </w:r>
      <w:r>
        <w:rPr>
          <w:rFonts w:eastAsia="等线" w:ascii="Arial" w:cs="Arial" w:hAnsi="Arial"/>
          <w:sz w:val="22"/>
        </w:rPr>
        <w:t>：周琰翔提到停止新用户 6 次免费解读服务，李亮认为从服务端去掉注册时自动赠送的代码即可，操作较快。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数据保留问题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历史数据保留成本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存储成本分析：周琰翔和李亮讨论历史用户解读报告数据保留问题，李亮指出存储成本按年购买，删除数据不影响费用，目前 30T 存储快用完，还有 2T 剩余。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数据量估算：周琰翔尝试估算一份报告加数据的大小约为 1.8 兆，但因数据分类多不好计算。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公司数据保留策略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策略提出：周琰翔提出公司可制定数据保留策略，如只保存两年数据，超过两年的删除，可能节省一半成本。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数据处理方式：符灵建认为数据是公司财富，不能全部删除，可采用云端和本地移动硬盘备份等低成本方式存储；对于华为用户数据，可让用户在 10 月 31 号后最多查询半年或一年数据，超过部分采用低成本方式，通过用户申请获取。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华为数据处理方案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提供 PDF 报告：李亮提出将 PDF 报告及用户 ID 提供给华为，规定三个月下载权限，下载完后关闭，页面不提供给华为。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业务逻辑说明：周琰翔强调业务逻辑上，华为技术人员下载文件到其服务器，再做软连接给用户，公司不关心华为与用户的关系。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协议依据探讨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法规及合同情况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法规判断：周琰翔认为若法规、隐私政策和合同无相关规定，公司可自行决定数据保留期限，如只保证 1 年数据，超过 1 年删除。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协议研究：周琰翔和李亮研究隐私协议和用户协议，发现协议中提到公司有权决定最长存储期限，理论上可按公司意愿处理数据。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沟通要点确定</w:t>
      </w:r>
      <w:r>
        <w:rPr>
          <w:rFonts w:eastAsia="等线" w:ascii="Arial" w:cs="Arial" w:hAnsi="Arial"/>
          <w:sz w:val="22"/>
        </w:rPr>
        <w:t>：周三会议按上述要点沟通，明确表示只提供 PDF 报告，不提供页面，服务期内数据保留，服务期外数据按规定处理。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其他问题讨论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隐私协议及跳转问题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协议查看：周琰翔和李亮查看华为运动健康隐私协议和用户协议，长截屏获取相关内容，未发现存储时间规定，但发现公司有权决定最长存储期限。</w:t>
      </w:r>
    </w:p>
    <w:p>
      <w:pPr>
        <w:numPr>
          <w:numId w:val="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跳转流程：探讨华为运动健康用户注册跳转流程，在认证处从心脏健康进入，涉及隐私协议和授权等步骤。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用户数据查看问题</w:t>
      </w:r>
    </w:p>
    <w:p>
      <w:pPr>
        <w:numPr>
          <w:numId w:val="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查看方式：李亮指出用户从软件上看历史数据有两部分，一部分是 H5 页面（需服务器支撑），另一部分是 PDF 报告。</w:t>
      </w:r>
    </w:p>
    <w:p>
      <w:pPr>
        <w:numPr>
          <w:numId w:val="2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可能需求：符灵建认为华为可能要求提供原始数据，如转换为 TXT 或.ECG 标准格式，还可能要求为用户提供波形展示。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后续工作计划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确认页面问题</w:t>
      </w:r>
      <w:r>
        <w:rPr>
          <w:rFonts w:eastAsia="等线" w:ascii="Arial" w:cs="Arial" w:hAnsi="Arial"/>
          <w:sz w:val="22"/>
        </w:rPr>
        <w:t>：周琰翔明天上午跟婷云确认解读服务入口位置问题。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组织会议沟通</w:t>
      </w:r>
      <w:r>
        <w:rPr>
          <w:rFonts w:eastAsia="等线" w:ascii="Arial" w:cs="Arial" w:hAnsi="Arial"/>
          <w:sz w:val="22"/>
        </w:rPr>
        <w:t>：周三与华为开会，按确定的要点进行沟通，李亮、符灵建等一同参与。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明确会议通知</w:t>
      </w:r>
      <w:r>
        <w:rPr>
          <w:rFonts w:eastAsia="等线" w:ascii="Arial" w:cs="Arial" w:hAnsi="Arial"/>
          <w:sz w:val="22"/>
        </w:rPr>
        <w:t>：周琰翔再次明确会议通知，确保参会人员知晓。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待办</w:t>
      </w:r>
      <w:bookmarkEnd w:id="1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截图文件分享：将用户协议及隐私声明的长截图原文件发送到群里，供大家研究其中关于存储期限的相关内容</w:t>
      </w:r>
      <w:r>
        <w:rPr>
          <w:rFonts w:eastAsia="等线" w:ascii="Arial" w:cs="Arial" w:hAnsi="Arial"/>
          <w:color w:val="3370ff"/>
          <w:sz w:val="22"/>
        </w:rPr>
        <w:t>@周琰翔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页面问题确认：明天上午与婷云确认页面问题，该页面涉及用户查看历史数据相关</w:t>
      </w:r>
      <w:r>
        <w:rPr>
          <w:rFonts w:eastAsia="等线" w:ascii="Arial" w:cs="Arial" w:hAnsi="Arial"/>
          <w:color w:val="3370ff"/>
          <w:sz w:val="22"/>
        </w:rPr>
        <w:t>@周琰翔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相关链接</w:t>
      </w:r>
      <w:bookmarkEnd w:id="2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华为解读服务讨论 2025年6月30日</w:t>
        </w:r>
      </w:hyperlink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438501">
    <w:lvl>
      <w:numFmt w:val="bullet"/>
      <w:suff w:val="tab"/>
      <w:lvlText w:val="•"/>
      <w:rPr>
        <w:color w:val="3370ff"/>
      </w:rPr>
    </w:lvl>
  </w:abstractNum>
  <w:abstractNum w:abstractNumId="2438502">
    <w:lvl>
      <w:numFmt w:val="bullet"/>
      <w:suff w:val="tab"/>
      <w:lvlText w:val="￮"/>
      <w:rPr>
        <w:color w:val="3370ff"/>
      </w:rPr>
    </w:lvl>
  </w:abstractNum>
  <w:abstractNum w:abstractNumId="2438503">
    <w:lvl>
      <w:numFmt w:val="bullet"/>
      <w:suff w:val="tab"/>
      <w:lvlText w:val="▪"/>
      <w:rPr>
        <w:color w:val="3370ff"/>
        <w:sz w:val="11"/>
      </w:rPr>
    </w:lvl>
  </w:abstractNum>
  <w:abstractNum w:abstractNumId="2438504">
    <w:lvl>
      <w:numFmt w:val="bullet"/>
      <w:suff w:val="tab"/>
      <w:lvlText w:val="▪"/>
      <w:rPr>
        <w:color w:val="3370ff"/>
        <w:sz w:val="11"/>
      </w:rPr>
    </w:lvl>
  </w:abstractNum>
  <w:abstractNum w:abstractNumId="2438505">
    <w:lvl>
      <w:numFmt w:val="bullet"/>
      <w:suff w:val="tab"/>
      <w:lvlText w:val="￮"/>
      <w:rPr>
        <w:color w:val="3370ff"/>
      </w:rPr>
    </w:lvl>
  </w:abstractNum>
  <w:abstractNum w:abstractNumId="2438506">
    <w:lvl>
      <w:numFmt w:val="bullet"/>
      <w:suff w:val="tab"/>
      <w:lvlText w:val="•"/>
      <w:rPr>
        <w:color w:val="3370ff"/>
      </w:rPr>
    </w:lvl>
  </w:abstractNum>
  <w:abstractNum w:abstractNumId="2438507">
    <w:lvl>
      <w:numFmt w:val="bullet"/>
      <w:suff w:val="tab"/>
      <w:lvlText w:val="￮"/>
      <w:rPr>
        <w:color w:val="3370ff"/>
      </w:rPr>
    </w:lvl>
  </w:abstractNum>
  <w:abstractNum w:abstractNumId="2438508">
    <w:lvl>
      <w:numFmt w:val="bullet"/>
      <w:suff w:val="tab"/>
      <w:lvlText w:val="▪"/>
      <w:rPr>
        <w:color w:val="3370ff"/>
        <w:sz w:val="11"/>
      </w:rPr>
    </w:lvl>
  </w:abstractNum>
  <w:abstractNum w:abstractNumId="2438509">
    <w:lvl>
      <w:numFmt w:val="bullet"/>
      <w:suff w:val="tab"/>
      <w:lvlText w:val="▪"/>
      <w:rPr>
        <w:color w:val="3370ff"/>
        <w:sz w:val="11"/>
      </w:rPr>
    </w:lvl>
  </w:abstractNum>
  <w:abstractNum w:abstractNumId="2438510">
    <w:lvl>
      <w:numFmt w:val="bullet"/>
      <w:suff w:val="tab"/>
      <w:lvlText w:val="￮"/>
      <w:rPr>
        <w:color w:val="3370ff"/>
      </w:rPr>
    </w:lvl>
  </w:abstractNum>
  <w:abstractNum w:abstractNumId="2438511">
    <w:lvl>
      <w:numFmt w:val="bullet"/>
      <w:suff w:val="tab"/>
      <w:lvlText w:val="▪"/>
      <w:rPr>
        <w:color w:val="3370ff"/>
        <w:sz w:val="11"/>
      </w:rPr>
    </w:lvl>
  </w:abstractNum>
  <w:abstractNum w:abstractNumId="2438512">
    <w:lvl>
      <w:numFmt w:val="bullet"/>
      <w:suff w:val="tab"/>
      <w:lvlText w:val="▪"/>
      <w:rPr>
        <w:color w:val="3370ff"/>
        <w:sz w:val="11"/>
      </w:rPr>
    </w:lvl>
  </w:abstractNum>
  <w:abstractNum w:abstractNumId="2438513">
    <w:lvl>
      <w:numFmt w:val="bullet"/>
      <w:suff w:val="tab"/>
      <w:lvlText w:val="￮"/>
      <w:rPr>
        <w:color w:val="3370ff"/>
      </w:rPr>
    </w:lvl>
  </w:abstractNum>
  <w:abstractNum w:abstractNumId="2438514">
    <w:lvl>
      <w:numFmt w:val="bullet"/>
      <w:suff w:val="tab"/>
      <w:lvlText w:val="▪"/>
      <w:rPr>
        <w:color w:val="3370ff"/>
        <w:sz w:val="11"/>
      </w:rPr>
    </w:lvl>
  </w:abstractNum>
  <w:abstractNum w:abstractNumId="2438515">
    <w:lvl>
      <w:numFmt w:val="bullet"/>
      <w:suff w:val="tab"/>
      <w:lvlText w:val="▪"/>
      <w:rPr>
        <w:color w:val="3370ff"/>
        <w:sz w:val="11"/>
      </w:rPr>
    </w:lvl>
  </w:abstractNum>
  <w:abstractNum w:abstractNumId="2438516">
    <w:lvl>
      <w:numFmt w:val="bullet"/>
      <w:suff w:val="tab"/>
      <w:lvlText w:val="•"/>
      <w:rPr>
        <w:color w:val="3370ff"/>
      </w:rPr>
    </w:lvl>
  </w:abstractNum>
  <w:abstractNum w:abstractNumId="2438517">
    <w:lvl>
      <w:numFmt w:val="bullet"/>
      <w:suff w:val="tab"/>
      <w:lvlText w:val="￮"/>
      <w:rPr>
        <w:color w:val="3370ff"/>
      </w:rPr>
    </w:lvl>
  </w:abstractNum>
  <w:abstractNum w:abstractNumId="2438518">
    <w:lvl>
      <w:numFmt w:val="bullet"/>
      <w:suff w:val="tab"/>
      <w:lvlText w:val="▪"/>
      <w:rPr>
        <w:color w:val="3370ff"/>
        <w:sz w:val="11"/>
      </w:rPr>
    </w:lvl>
  </w:abstractNum>
  <w:abstractNum w:abstractNumId="2438519">
    <w:lvl>
      <w:numFmt w:val="bullet"/>
      <w:suff w:val="tab"/>
      <w:lvlText w:val="▪"/>
      <w:rPr>
        <w:color w:val="3370ff"/>
        <w:sz w:val="11"/>
      </w:rPr>
    </w:lvl>
  </w:abstractNum>
  <w:abstractNum w:abstractNumId="2438520">
    <w:lvl>
      <w:numFmt w:val="bullet"/>
      <w:suff w:val="tab"/>
      <w:lvlText w:val="￮"/>
      <w:rPr>
        <w:color w:val="3370ff"/>
      </w:rPr>
    </w:lvl>
  </w:abstractNum>
  <w:abstractNum w:abstractNumId="2438521">
    <w:lvl>
      <w:numFmt w:val="bullet"/>
      <w:suff w:val="tab"/>
      <w:lvlText w:val="•"/>
      <w:rPr>
        <w:color w:val="3370ff"/>
      </w:rPr>
    </w:lvl>
  </w:abstractNum>
  <w:abstractNum w:abstractNumId="2438522">
    <w:lvl>
      <w:numFmt w:val="bullet"/>
      <w:suff w:val="tab"/>
      <w:lvlText w:val="￮"/>
      <w:rPr>
        <w:color w:val="3370ff"/>
      </w:rPr>
    </w:lvl>
  </w:abstractNum>
  <w:abstractNum w:abstractNumId="2438523">
    <w:lvl>
      <w:numFmt w:val="bullet"/>
      <w:suff w:val="tab"/>
      <w:lvlText w:val="▪"/>
      <w:rPr>
        <w:color w:val="3370ff"/>
        <w:sz w:val="11"/>
      </w:rPr>
    </w:lvl>
  </w:abstractNum>
  <w:abstractNum w:abstractNumId="2438524">
    <w:lvl>
      <w:numFmt w:val="bullet"/>
      <w:suff w:val="tab"/>
      <w:lvlText w:val="▪"/>
      <w:rPr>
        <w:color w:val="3370ff"/>
        <w:sz w:val="11"/>
      </w:rPr>
    </w:lvl>
  </w:abstractNum>
  <w:abstractNum w:abstractNumId="2438525">
    <w:lvl>
      <w:numFmt w:val="bullet"/>
      <w:suff w:val="tab"/>
      <w:lvlText w:val="￮"/>
      <w:rPr>
        <w:color w:val="3370ff"/>
      </w:rPr>
    </w:lvl>
  </w:abstractNum>
  <w:abstractNum w:abstractNumId="2438526">
    <w:lvl>
      <w:numFmt w:val="bullet"/>
      <w:suff w:val="tab"/>
      <w:lvlText w:val="▪"/>
      <w:rPr>
        <w:color w:val="3370ff"/>
        <w:sz w:val="11"/>
      </w:rPr>
    </w:lvl>
  </w:abstractNum>
  <w:abstractNum w:abstractNumId="2438527">
    <w:lvl>
      <w:numFmt w:val="bullet"/>
      <w:suff w:val="tab"/>
      <w:lvlText w:val="▪"/>
      <w:rPr>
        <w:color w:val="3370ff"/>
        <w:sz w:val="11"/>
      </w:rPr>
    </w:lvl>
  </w:abstractNum>
  <w:abstractNum w:abstractNumId="2438528">
    <w:lvl>
      <w:numFmt w:val="bullet"/>
      <w:suff w:val="tab"/>
      <w:lvlText w:val="•"/>
      <w:rPr>
        <w:color w:val="3370ff"/>
      </w:rPr>
    </w:lvl>
  </w:abstractNum>
  <w:abstractNum w:abstractNumId="2438529">
    <w:lvl>
      <w:numFmt w:val="bullet"/>
      <w:suff w:val="tab"/>
      <w:lvlText w:val="￮"/>
      <w:rPr>
        <w:color w:val="3370ff"/>
      </w:rPr>
    </w:lvl>
  </w:abstractNum>
  <w:abstractNum w:abstractNumId="2438530">
    <w:lvl>
      <w:numFmt w:val="bullet"/>
      <w:suff w:val="tab"/>
      <w:lvlText w:val="￮"/>
      <w:rPr>
        <w:color w:val="3370ff"/>
      </w:rPr>
    </w:lvl>
  </w:abstractNum>
  <w:abstractNum w:abstractNumId="2438531">
    <w:lvl>
      <w:numFmt w:val="bullet"/>
      <w:suff w:val="tab"/>
      <w:lvlText w:val="￮"/>
      <w:rPr>
        <w:color w:val="3370ff"/>
      </w:rPr>
    </w:lvl>
  </w:abstractNum>
  <w:abstractNum w:abstractNumId="2438532">
    <w:lvl>
      <w:numFmt w:val="bullet"/>
      <w:suff w:val="space"/>
      <w:lvlText w:val="□"/>
    </w:lvl>
  </w:abstractNum>
  <w:abstractNum w:abstractNumId="2438533">
    <w:lvl>
      <w:numFmt w:val="bullet"/>
      <w:suff w:val="space"/>
      <w:lvlText w:val="□"/>
    </w:lvl>
  </w:abstractNum>
  <w:abstractNum w:abstractNumId="2438534">
    <w:lvl>
      <w:numFmt w:val="bullet"/>
      <w:suff w:val="tab"/>
      <w:lvlText w:val="•"/>
      <w:rPr>
        <w:color w:val="3370ff"/>
      </w:rPr>
    </w:lvl>
  </w:abstractNum>
  <w:abstractNum w:abstractNumId="2438535">
    <w:lvl>
      <w:numFmt w:val="bullet"/>
      <w:suff w:val="tab"/>
      <w:lvlText w:val="￮"/>
      <w:rPr>
        <w:color w:val="3370ff"/>
      </w:rPr>
    </w:lvl>
  </w:abstractNum>
  <w:num w:numId="1">
    <w:abstractNumId w:val="2438501"/>
  </w:num>
  <w:num w:numId="2">
    <w:abstractNumId w:val="2438502"/>
  </w:num>
  <w:num w:numId="3">
    <w:abstractNumId w:val="2438503"/>
  </w:num>
  <w:num w:numId="4">
    <w:abstractNumId w:val="2438504"/>
  </w:num>
  <w:num w:numId="5">
    <w:abstractNumId w:val="2438505"/>
  </w:num>
  <w:num w:numId="6">
    <w:abstractNumId w:val="2438506"/>
  </w:num>
  <w:num w:numId="7">
    <w:abstractNumId w:val="2438507"/>
  </w:num>
  <w:num w:numId="8">
    <w:abstractNumId w:val="2438508"/>
  </w:num>
  <w:num w:numId="9">
    <w:abstractNumId w:val="2438509"/>
  </w:num>
  <w:num w:numId="10">
    <w:abstractNumId w:val="2438510"/>
  </w:num>
  <w:num w:numId="11">
    <w:abstractNumId w:val="2438511"/>
  </w:num>
  <w:num w:numId="12">
    <w:abstractNumId w:val="2438512"/>
  </w:num>
  <w:num w:numId="13">
    <w:abstractNumId w:val="2438513"/>
  </w:num>
  <w:num w:numId="14">
    <w:abstractNumId w:val="2438514"/>
  </w:num>
  <w:num w:numId="15">
    <w:abstractNumId w:val="2438515"/>
  </w:num>
  <w:num w:numId="16">
    <w:abstractNumId w:val="2438516"/>
  </w:num>
  <w:num w:numId="17">
    <w:abstractNumId w:val="2438517"/>
  </w:num>
  <w:num w:numId="18">
    <w:abstractNumId w:val="2438518"/>
  </w:num>
  <w:num w:numId="19">
    <w:abstractNumId w:val="2438519"/>
  </w:num>
  <w:num w:numId="20">
    <w:abstractNumId w:val="2438520"/>
  </w:num>
  <w:num w:numId="21">
    <w:abstractNumId w:val="2438521"/>
  </w:num>
  <w:num w:numId="22">
    <w:abstractNumId w:val="2438522"/>
  </w:num>
  <w:num w:numId="23">
    <w:abstractNumId w:val="2438523"/>
  </w:num>
  <w:num w:numId="24">
    <w:abstractNumId w:val="2438524"/>
  </w:num>
  <w:num w:numId="25">
    <w:abstractNumId w:val="2438525"/>
  </w:num>
  <w:num w:numId="26">
    <w:abstractNumId w:val="2438526"/>
  </w:num>
  <w:num w:numId="27">
    <w:abstractNumId w:val="2438527"/>
  </w:num>
  <w:num w:numId="28">
    <w:abstractNumId w:val="2438528"/>
  </w:num>
  <w:num w:numId="29">
    <w:abstractNumId w:val="2438529"/>
  </w:num>
  <w:num w:numId="30">
    <w:abstractNumId w:val="2438530"/>
  </w:num>
  <w:num w:numId="31">
    <w:abstractNumId w:val="2438531"/>
  </w:num>
  <w:num w:numId="32">
    <w:abstractNumId w:val="2438532"/>
  </w:num>
  <w:num w:numId="33">
    <w:abstractNumId w:val="2438533"/>
  </w:num>
  <w:num w:numId="34">
    <w:abstractNumId w:val="2438534"/>
  </w:num>
  <w:num w:numId="35">
    <w:abstractNumId w:val="243853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newhope1982.feishu.cn/docx/BGisdEJu1oRCBkxMgZvcyHzpnEg" TargetMode="External" Type="http://schemas.openxmlformats.org/officeDocument/2006/relationships/hyperlink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2025-12-30T11:37:19Z</dcterms:created>
  <dc:creator>Apache POI</dc:creator>
</cp:coreProperties>
</file>