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老年养老院智能监护系统产品需求文档（PRD）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全球人口老龄化加剧，养老院面临日益增长的健康监护需求。老年人常伴有慢性疾病（如心力衰竭、糖尿病）、自主神经功能衰退和跌倒风险，导致急性事件发生率高。基于心率变异性（HRV）等生理指标的智能监护系统，能早期识别风险，实现预防性护理。文档内容表明，HRV是评估自主神经功能的可靠指标，HRV降低与心血管事件、跌倒和死亡率增加显著相关（文档2、6）。本系统通过多参数实时监测，提升养老院护理效率和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短期目标</w:t>
      </w:r>
      <w:r>
        <w:rPr>
          <w:rFonts w:eastAsia="等线" w:ascii="Arial" w:cs="Arial" w:hAnsi="Arial"/>
          <w:sz w:val="22"/>
        </w:rPr>
        <w:t>：通过实时监测心率、HRV、体温、步数、睡眠和跌倒，降低老年人急性事件（如跌倒、心脏病发作）发生率20%以上。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长期目标</w:t>
      </w:r>
      <w:r>
        <w:rPr>
          <w:rFonts w:eastAsia="等线" w:ascii="Arial" w:cs="Arial" w:hAnsi="Arial"/>
          <w:sz w:val="22"/>
        </w:rPr>
        <w:t>：构建数据驱动的养老健康管理平台，减少住院次数，延长健康寿命。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价值主张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基于共识的可靠性</w:t>
      </w:r>
      <w:r>
        <w:rPr>
          <w:rFonts w:eastAsia="等线" w:ascii="Arial" w:cs="Arial" w:hAnsi="Arial"/>
          <w:sz w:val="22"/>
        </w:rPr>
        <w:t>：依托HRV等指标的临床共识（文档2、6），系统预警准确率高。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多指标联动</w:t>
      </w:r>
      <w:r>
        <w:rPr>
          <w:rFonts w:eastAsia="等线" w:ascii="Arial" w:cs="Arial" w:hAnsi="Arial"/>
          <w:sz w:val="22"/>
        </w:rPr>
        <w:t>：结合运动、睡眠数据，全面评估健康状态。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低成本高效</w:t>
      </w:r>
      <w:r>
        <w:rPr>
          <w:rFonts w:eastAsia="等线" w:ascii="Arial" w:cs="Arial" w:hAnsi="Arial"/>
          <w:sz w:val="22"/>
        </w:rPr>
        <w:t>：使用可穿戴传感器和云分析，降低人工监护成本。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目标用户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主要用户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养老院医护人员</w:t>
      </w:r>
      <w:r>
        <w:rPr>
          <w:rFonts w:eastAsia="等线" w:ascii="Arial" w:cs="Arial" w:hAnsi="Arial"/>
          <w:sz w:val="22"/>
        </w:rPr>
        <w:t>：负责监控系统警报、处理紧急事件、制定护理计划。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养老院管理员</w:t>
      </w:r>
      <w:r>
        <w:rPr>
          <w:rFonts w:eastAsia="等线" w:ascii="Arial" w:cs="Arial" w:hAnsi="Arial"/>
          <w:sz w:val="22"/>
        </w:rPr>
        <w:t>：管理设备、查看整体健康报告、优化资源分配。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次要用户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老年人</w:t>
      </w:r>
      <w:r>
        <w:rPr>
          <w:rFonts w:eastAsia="等线" w:ascii="Arial" w:cs="Arial" w:hAnsi="Arial"/>
          <w:sz w:val="22"/>
        </w:rPr>
        <w:t>：通过简易界面查看自身健康数据，提高健康意识。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家属</w:t>
      </w:r>
      <w:r>
        <w:rPr>
          <w:rFonts w:eastAsia="等线" w:ascii="Arial" w:cs="Arial" w:hAnsi="Arial"/>
          <w:sz w:val="22"/>
        </w:rPr>
        <w:t>：通过移动App接收亲人健康通知，参与护理决策。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用户场景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日常监护</w:t>
      </w:r>
      <w:r>
        <w:rPr>
          <w:rFonts w:eastAsia="等线" w:ascii="Arial" w:cs="Arial" w:hAnsi="Arial"/>
          <w:sz w:val="22"/>
        </w:rPr>
        <w:t>：老年人佩戴传感器，系统持续采集数据；医护人员通过仪表盘查看异常趋势。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夜间监测</w:t>
      </w:r>
      <w:r>
        <w:rPr>
          <w:rFonts w:eastAsia="等线" w:ascii="Arial" w:cs="Arial" w:hAnsi="Arial"/>
          <w:sz w:val="22"/>
        </w:rPr>
        <w:t>：重点监控睡眠呼吸暂停和HRV突变，预防夜间猝死（文档14）。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紧急响应</w:t>
      </w:r>
      <w:r>
        <w:rPr>
          <w:rFonts w:eastAsia="等线" w:ascii="Arial" w:cs="Arial" w:hAnsi="Arial"/>
          <w:sz w:val="22"/>
        </w:rPr>
        <w:t>：跌倒或HRV骤降时，系统自动通知医护人员到场处理。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功能需求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指标监测模块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心率监测</w:t>
      </w:r>
      <w:r>
        <w:rPr>
          <w:rFonts w:eastAsia="等线" w:ascii="Arial" w:cs="Arial" w:hAnsi="Arial"/>
          <w:sz w:val="22"/>
        </w:rPr>
        <w:t>：实时采集心率数据，计算静息心率和动态心率。支撑共识：静息心率升高是心血管风险因子（文档12、31）。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HRV监测</w:t>
      </w:r>
      <w:r>
        <w:rPr>
          <w:rFonts w:eastAsia="等线" w:ascii="Arial" w:cs="Arial" w:hAnsi="Arial"/>
          <w:sz w:val="22"/>
        </w:rPr>
        <w:t>：通过ECG或PPG信号计算HRV时域参数（SDNN、RMSSD）和频域参数（LF、HF）。阈值设置：SDNN&lt;100ms为异常（文档1、4）。支撑共识：HRV降低是老年人心血管事件独立预测因子（文档2、6）。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体温监测</w:t>
      </w:r>
      <w:r>
        <w:rPr>
          <w:rFonts w:eastAsia="等线" w:ascii="Arial" w:cs="Arial" w:hAnsi="Arial"/>
          <w:sz w:val="22"/>
        </w:rPr>
        <w:t>：每日基线体温跟踪，异常发热（如&gt;37.5°C）预警感染。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步数监测</w:t>
      </w:r>
      <w:r>
        <w:rPr>
          <w:rFonts w:eastAsia="等线" w:ascii="Arial" w:cs="Arial" w:hAnsi="Arial"/>
          <w:sz w:val="22"/>
        </w:rPr>
        <w:t>：通过加速度计计算每日步数，评估活动量。支撑共识：活动减少与衰弱相关（文档11）。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睡眠监测</w:t>
      </w:r>
      <w:r>
        <w:rPr>
          <w:rFonts w:eastAsia="等线" w:ascii="Arial" w:cs="Arial" w:hAnsi="Arial"/>
          <w:sz w:val="22"/>
        </w:rPr>
        <w:t>：分析睡眠时长、深度睡眠比例、觉醒次数。支撑共识：睡眠质量差与HRV降低相关（文档13、14）。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跌倒检测</w:t>
      </w:r>
      <w:r>
        <w:rPr>
          <w:rFonts w:eastAsia="等线" w:ascii="Arial" w:cs="Arial" w:hAnsi="Arial"/>
          <w:sz w:val="22"/>
        </w:rPr>
        <w:t>：通过陀螺仪和算法识别跌倒动作，即时报警。扩展功能，基于文档中活动监测逻辑。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数据分析与预警模块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异常检测算法</w:t>
      </w:r>
      <w:r>
        <w:rPr>
          <w:rFonts w:eastAsia="等线" w:ascii="Arial" w:cs="Arial" w:hAnsi="Arial"/>
          <w:sz w:val="22"/>
        </w:rPr>
        <w:t>：基于HRV阈值（如SDNN下降30%持续10分钟）触发中级警报；结合心率骤升（&gt;120bpm）和跌倒信号触发高级警报。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趋势分析</w:t>
      </w:r>
      <w:r>
        <w:rPr>
          <w:rFonts w:eastAsia="等线" w:ascii="Arial" w:cs="Arial" w:hAnsi="Arial"/>
          <w:sz w:val="22"/>
        </w:rPr>
        <w:t>：生成每日HRV趋势图，识别长期退化（如周环比HRV降低提示自主神经恶化）。支撑共识：HRV长期监测可预测心力衰竭风险（文档1、18）。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报告生成</w:t>
      </w:r>
      <w:r>
        <w:rPr>
          <w:rFonts w:eastAsia="等线" w:ascii="Arial" w:cs="Arial" w:hAnsi="Arial"/>
          <w:sz w:val="22"/>
        </w:rPr>
        <w:t>：自动生成周/月健康报告，包括HRV摘要、睡眠评分、跌倒事件统计，供医护人员参考。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用户界面模块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医护仪表盘</w:t>
      </w:r>
      <w:r>
        <w:rPr>
          <w:rFonts w:eastAsia="等线" w:ascii="Arial" w:cs="Arial" w:hAnsi="Arial"/>
          <w:sz w:val="22"/>
        </w:rPr>
        <w:t>：Web端界面，显示实时数据看板、警报列表、老人位置地图。支持筛选高风险老人（HRV持续低者）。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移动App</w:t>
      </w:r>
      <w:r>
        <w:rPr>
          <w:rFonts w:eastAsia="等线" w:ascii="Arial" w:cs="Arial" w:hAnsi="Arial"/>
          <w:sz w:val="22"/>
        </w:rPr>
        <w:t>：家属端接收推送通知（如跌倒警报），查看亲人简单健康评分。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配置界面</w:t>
      </w:r>
      <w:r>
        <w:rPr>
          <w:rFonts w:eastAsia="等线" w:ascii="Arial" w:cs="Arial" w:hAnsi="Arial"/>
          <w:sz w:val="22"/>
        </w:rPr>
        <w:t>：医护人员个性化设置警报阈值（基于老人病史）。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非功能需求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性能需求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实时性</w:t>
      </w:r>
      <w:r>
        <w:rPr>
          <w:rFonts w:eastAsia="等线" w:ascii="Arial" w:cs="Arial" w:hAnsi="Arial"/>
          <w:sz w:val="22"/>
        </w:rPr>
        <w:t>：数据采集到警报延迟&lt;30秒，确保及时响应。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准确性</w:t>
      </w:r>
      <w:r>
        <w:rPr>
          <w:rFonts w:eastAsia="等线" w:ascii="Arial" w:cs="Arial" w:hAnsi="Arial"/>
          <w:sz w:val="22"/>
        </w:rPr>
        <w:t>：HRV算法误报率&lt;5%，基于文档中的临床标准（文档1、4）。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可靠性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系统可用性</w:t>
      </w:r>
      <w:r>
        <w:rPr>
          <w:rFonts w:eastAsia="等线" w:ascii="Arial" w:cs="Arial" w:hAnsi="Arial"/>
          <w:sz w:val="22"/>
        </w:rPr>
        <w:t>：99.9% uptime，传感器电池寿命&gt;7天。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数据备份</w:t>
      </w:r>
      <w:r>
        <w:rPr>
          <w:rFonts w:eastAsia="等线" w:ascii="Arial" w:cs="Arial" w:hAnsi="Arial"/>
          <w:sz w:val="22"/>
        </w:rPr>
        <w:t>：云端加密存储，防止数据丢失。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安全与隐私</w:t>
      </w:r>
      <w:bookmarkEnd w:id="1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数据加密</w:t>
      </w:r>
      <w:r>
        <w:rPr>
          <w:rFonts w:eastAsia="等线" w:ascii="Arial" w:cs="Arial" w:hAnsi="Arial"/>
          <w:sz w:val="22"/>
        </w:rPr>
        <w:t>：健康数据传输和存储符合HIPAA/GDPR标准。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访问控制</w:t>
      </w:r>
      <w:r>
        <w:rPr>
          <w:rFonts w:eastAsia="等线" w:ascii="Arial" w:cs="Arial" w:hAnsi="Arial"/>
          <w:sz w:val="22"/>
        </w:rPr>
        <w:t>：角色权限管理（医护人员仅访问所属老人数据）。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易用性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界面简洁</w:t>
      </w:r>
      <w:r>
        <w:rPr>
          <w:rFonts w:eastAsia="等线" w:ascii="Arial" w:cs="Arial" w:hAnsi="Arial"/>
          <w:sz w:val="22"/>
        </w:rPr>
        <w:t>：仪表盘一键操作，适合老年医护人员使用。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多语言支持</w:t>
      </w:r>
      <w:r>
        <w:rPr>
          <w:rFonts w:eastAsia="等线" w:ascii="Arial" w:cs="Arial" w:hAnsi="Arial"/>
          <w:sz w:val="22"/>
        </w:rPr>
        <w:t>：中文优先，后续扩展英语。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业务逻辑与系统架构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数据流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采集层</w:t>
      </w:r>
      <w:r>
        <w:rPr>
          <w:rFonts w:eastAsia="等线" w:ascii="Arial" w:cs="Arial" w:hAnsi="Arial"/>
          <w:sz w:val="22"/>
        </w:rPr>
        <w:t>：可穿戴设备（手环/贴片）采集原始数据（ECG、加速度、温度）。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传输层</w:t>
      </w:r>
      <w:r>
        <w:rPr>
          <w:rFonts w:eastAsia="等线" w:ascii="Arial" w:cs="Arial" w:hAnsi="Arial"/>
          <w:sz w:val="22"/>
        </w:rPr>
        <w:t>：通过蓝牙/WiFi将数据发送到网关设备。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处理层</w:t>
      </w:r>
      <w:r>
        <w:rPr>
          <w:rFonts w:eastAsia="等线" w:ascii="Arial" w:cs="Arial" w:hAnsi="Arial"/>
          <w:sz w:val="22"/>
        </w:rPr>
        <w:t>：云端平台计算指标（如HRV的SDNN），应用算法检测异常。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应用层</w:t>
      </w:r>
      <w:r>
        <w:rPr>
          <w:rFonts w:eastAsia="等线" w:ascii="Arial" w:cs="Arial" w:hAnsi="Arial"/>
          <w:sz w:val="22"/>
        </w:rPr>
        <w:t>：警报推送至医护终端，报告存储于数据库。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算法逻辑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HRV风险评分</w:t>
      </w:r>
      <w:r>
        <w:rPr>
          <w:rFonts w:eastAsia="等线" w:ascii="Arial" w:cs="Arial" w:hAnsi="Arial"/>
          <w:sz w:val="22"/>
        </w:rPr>
        <w:t>：参考文档6，当SDNN&lt;50ms为高风险，50-100ms为中风险，&gt;100ms为低风险。结合心率变异三角指数（TI）优化预测（文档1）。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跌倒检测</w:t>
      </w:r>
      <w:r>
        <w:rPr>
          <w:rFonts w:eastAsia="等线" w:ascii="Arial" w:cs="Arial" w:hAnsi="Arial"/>
          <w:sz w:val="22"/>
        </w:rPr>
        <w:t>：加速度阈值+姿势识别，减少误报。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集成需求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与医疗设备兼容</w:t>
      </w:r>
      <w:r>
        <w:rPr>
          <w:rFonts w:eastAsia="等线" w:ascii="Arial" w:cs="Arial" w:hAnsi="Arial"/>
          <w:sz w:val="22"/>
        </w:rPr>
        <w:t>：支持导出数据至医院系统（如EHR）。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第三方传感器</w:t>
      </w:r>
      <w:r>
        <w:rPr>
          <w:rFonts w:eastAsia="等线" w:ascii="Arial" w:cs="Arial" w:hAnsi="Arial"/>
          <w:sz w:val="22"/>
        </w:rPr>
        <w:t>：开放API接入主流品牌（如Apple Watch、Fitbit）。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成功指标</w:t>
      </w:r>
      <w:bookmarkEnd w:id="2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健康指标</w:t>
      </w:r>
      <w:r>
        <w:rPr>
          <w:rFonts w:eastAsia="等线" w:ascii="Arial" w:cs="Arial" w:hAnsi="Arial"/>
          <w:sz w:val="22"/>
        </w:rPr>
        <w:t>：6个月内跌倒发生率降低20%，急性事件响应时间&lt;5分钟。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业务指标</w:t>
      </w:r>
      <w:r>
        <w:rPr>
          <w:rFonts w:eastAsia="等线" w:ascii="Arial" w:cs="Arial" w:hAnsi="Arial"/>
          <w:sz w:val="22"/>
        </w:rPr>
        <w:t>：养老院入住率提升10%，医护人员工作效率提高15%。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用户满意度</w:t>
      </w:r>
      <w:r>
        <w:rPr>
          <w:rFonts w:eastAsia="等线" w:ascii="Arial" w:cs="Arial" w:hAnsi="Arial"/>
          <w:sz w:val="22"/>
        </w:rPr>
        <w:t>：通过问卷评估，目标满意度&gt;90%。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附录：文档共识支撑</w:t>
      </w:r>
      <w:bookmarkEnd w:id="2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文档2</w:t>
      </w:r>
      <w:r>
        <w:rPr>
          <w:rFonts w:eastAsia="等线" w:ascii="Arial" w:cs="Arial" w:hAnsi="Arial"/>
          <w:sz w:val="22"/>
        </w:rPr>
        <w:t>：《健康老年人和老年心衰、糖尿病患者心率变异性的初步分析.pdf》指出：健康老年人HRV指标显著低于青年人，而老年心衰患者HRV更低，提示HRV可作为预后手段（原文摘要）。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文档6</w:t>
      </w:r>
      <w:r>
        <w:rPr>
          <w:rFonts w:eastAsia="等线" w:ascii="Arial" w:cs="Arial" w:hAnsi="Arial"/>
          <w:sz w:val="22"/>
        </w:rPr>
        <w:t>：《心率变异性检测对老年心肌梗死患者预后的临床意义.pdf》表明：HRV参数（如SDNN）降低是心梗后死亡的独立预测因子，定期检测有临床价值（原文结论）。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其他相关文档</w:t>
      </w:r>
      <w:r>
        <w:rPr>
          <w:rFonts w:eastAsia="等线" w:ascii="Arial" w:cs="Arial" w:hAnsi="Arial"/>
          <w:sz w:val="22"/>
        </w:rPr>
        <w:t>：文档1、4、14等进一步支持HRV在风险评估中的重要性，如文档14强调睡眠呼吸暂停与HRV的关联。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本PRD基于上述共识，确保产品设计有临床证据支撑，减少实施风险。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09169">
    <w:lvl>
      <w:numFmt w:val="bullet"/>
      <w:suff w:val="tab"/>
      <w:lvlText w:val="•"/>
      <w:rPr>
        <w:color w:val="3370ff"/>
      </w:rPr>
    </w:lvl>
  </w:abstractNum>
  <w:abstractNum w:abstractNumId="3809170">
    <w:lvl>
      <w:numFmt w:val="bullet"/>
      <w:suff w:val="tab"/>
      <w:lvlText w:val="•"/>
      <w:rPr>
        <w:color w:val="3370ff"/>
      </w:rPr>
    </w:lvl>
  </w:abstractNum>
  <w:abstractNum w:abstractNumId="3809171">
    <w:lvl>
      <w:numFmt w:val="bullet"/>
      <w:suff w:val="tab"/>
      <w:lvlText w:val="•"/>
      <w:rPr>
        <w:color w:val="3370ff"/>
      </w:rPr>
    </w:lvl>
  </w:abstractNum>
  <w:abstractNum w:abstractNumId="3809172">
    <w:lvl>
      <w:numFmt w:val="bullet"/>
      <w:suff w:val="tab"/>
      <w:lvlText w:val="•"/>
      <w:rPr>
        <w:color w:val="3370ff"/>
      </w:rPr>
    </w:lvl>
  </w:abstractNum>
  <w:abstractNum w:abstractNumId="3809173">
    <w:lvl>
      <w:numFmt w:val="bullet"/>
      <w:suff w:val="tab"/>
      <w:lvlText w:val="•"/>
      <w:rPr>
        <w:color w:val="3370ff"/>
      </w:rPr>
    </w:lvl>
  </w:abstractNum>
  <w:abstractNum w:abstractNumId="3809174">
    <w:lvl>
      <w:numFmt w:val="bullet"/>
      <w:suff w:val="tab"/>
      <w:lvlText w:val="•"/>
      <w:rPr>
        <w:color w:val="3370ff"/>
      </w:rPr>
    </w:lvl>
  </w:abstractNum>
  <w:abstractNum w:abstractNumId="3809175">
    <w:lvl>
      <w:numFmt w:val="bullet"/>
      <w:suff w:val="tab"/>
      <w:lvlText w:val="•"/>
      <w:rPr>
        <w:color w:val="3370ff"/>
      </w:rPr>
    </w:lvl>
  </w:abstractNum>
  <w:abstractNum w:abstractNumId="3809176">
    <w:lvl>
      <w:numFmt w:val="bullet"/>
      <w:suff w:val="tab"/>
      <w:lvlText w:val="•"/>
      <w:rPr>
        <w:color w:val="3370ff"/>
      </w:rPr>
    </w:lvl>
  </w:abstractNum>
  <w:abstractNum w:abstractNumId="3809177">
    <w:lvl>
      <w:numFmt w:val="bullet"/>
      <w:suff w:val="tab"/>
      <w:lvlText w:val="•"/>
      <w:rPr>
        <w:color w:val="3370ff"/>
      </w:rPr>
    </w:lvl>
  </w:abstractNum>
  <w:abstractNum w:abstractNumId="3809178">
    <w:lvl>
      <w:numFmt w:val="bullet"/>
      <w:suff w:val="tab"/>
      <w:lvlText w:val="•"/>
      <w:rPr>
        <w:color w:val="3370ff"/>
      </w:rPr>
    </w:lvl>
  </w:abstractNum>
  <w:abstractNum w:abstractNumId="3809179">
    <w:lvl>
      <w:numFmt w:val="bullet"/>
      <w:suff w:val="tab"/>
      <w:lvlText w:val="•"/>
      <w:rPr>
        <w:color w:val="3370ff"/>
      </w:rPr>
    </w:lvl>
  </w:abstractNum>
  <w:abstractNum w:abstractNumId="3809180">
    <w:lvl>
      <w:numFmt w:val="bullet"/>
      <w:suff w:val="tab"/>
      <w:lvlText w:val="•"/>
      <w:rPr>
        <w:color w:val="3370ff"/>
      </w:rPr>
    </w:lvl>
  </w:abstractNum>
  <w:abstractNum w:abstractNumId="3809181">
    <w:lvl>
      <w:numFmt w:val="bullet"/>
      <w:suff w:val="tab"/>
      <w:lvlText w:val="•"/>
      <w:rPr>
        <w:color w:val="3370ff"/>
      </w:rPr>
    </w:lvl>
  </w:abstractNum>
  <w:abstractNum w:abstractNumId="3809182">
    <w:lvl>
      <w:numFmt w:val="bullet"/>
      <w:suff w:val="tab"/>
      <w:lvlText w:val="•"/>
      <w:rPr>
        <w:color w:val="3370ff"/>
      </w:rPr>
    </w:lvl>
  </w:abstractNum>
  <w:abstractNum w:abstractNumId="3809183">
    <w:lvl>
      <w:numFmt w:val="bullet"/>
      <w:suff w:val="tab"/>
      <w:lvlText w:val="•"/>
      <w:rPr>
        <w:color w:val="3370ff"/>
      </w:rPr>
    </w:lvl>
  </w:abstractNum>
  <w:abstractNum w:abstractNumId="3809184">
    <w:lvl>
      <w:numFmt w:val="bullet"/>
      <w:suff w:val="tab"/>
      <w:lvlText w:val="•"/>
      <w:rPr>
        <w:color w:val="3370ff"/>
      </w:rPr>
    </w:lvl>
  </w:abstractNum>
  <w:abstractNum w:abstractNumId="3809185">
    <w:lvl>
      <w:numFmt w:val="bullet"/>
      <w:suff w:val="tab"/>
      <w:lvlText w:val="•"/>
      <w:rPr>
        <w:color w:val="3370ff"/>
      </w:rPr>
    </w:lvl>
  </w:abstractNum>
  <w:abstractNum w:abstractNumId="3809186">
    <w:lvl>
      <w:numFmt w:val="bullet"/>
      <w:suff w:val="tab"/>
      <w:lvlText w:val="•"/>
      <w:rPr>
        <w:color w:val="3370ff"/>
      </w:rPr>
    </w:lvl>
  </w:abstractNum>
  <w:abstractNum w:abstractNumId="3809187">
    <w:lvl>
      <w:numFmt w:val="bullet"/>
      <w:suff w:val="tab"/>
      <w:lvlText w:val="•"/>
      <w:rPr>
        <w:color w:val="3370ff"/>
      </w:rPr>
    </w:lvl>
  </w:abstractNum>
  <w:abstractNum w:abstractNumId="3809188">
    <w:lvl>
      <w:numFmt w:val="bullet"/>
      <w:suff w:val="tab"/>
      <w:lvlText w:val="•"/>
      <w:rPr>
        <w:color w:val="3370ff"/>
      </w:rPr>
    </w:lvl>
  </w:abstractNum>
  <w:abstractNum w:abstractNumId="3809189">
    <w:lvl>
      <w:numFmt w:val="bullet"/>
      <w:suff w:val="tab"/>
      <w:lvlText w:val="•"/>
      <w:rPr>
        <w:color w:val="3370ff"/>
      </w:rPr>
    </w:lvl>
  </w:abstractNum>
  <w:abstractNum w:abstractNumId="3809190">
    <w:lvl>
      <w:numFmt w:val="bullet"/>
      <w:suff w:val="tab"/>
      <w:lvlText w:val="•"/>
      <w:rPr>
        <w:color w:val="3370ff"/>
      </w:rPr>
    </w:lvl>
  </w:abstractNum>
  <w:abstractNum w:abstractNumId="3809191">
    <w:lvl>
      <w:numFmt w:val="bullet"/>
      <w:suff w:val="tab"/>
      <w:lvlText w:val="•"/>
      <w:rPr>
        <w:color w:val="3370ff"/>
      </w:rPr>
    </w:lvl>
  </w:abstractNum>
  <w:abstractNum w:abstractNumId="3809192">
    <w:lvl>
      <w:numFmt w:val="bullet"/>
      <w:suff w:val="tab"/>
      <w:lvlText w:val="•"/>
      <w:rPr>
        <w:color w:val="3370ff"/>
      </w:rPr>
    </w:lvl>
  </w:abstractNum>
  <w:abstractNum w:abstractNumId="3809193">
    <w:lvl>
      <w:numFmt w:val="bullet"/>
      <w:suff w:val="tab"/>
      <w:lvlText w:val="•"/>
      <w:rPr>
        <w:color w:val="3370ff"/>
      </w:rPr>
    </w:lvl>
  </w:abstractNum>
  <w:abstractNum w:abstractNumId="3809194">
    <w:lvl>
      <w:numFmt w:val="bullet"/>
      <w:suff w:val="tab"/>
      <w:lvlText w:val="•"/>
      <w:rPr>
        <w:color w:val="3370ff"/>
      </w:rPr>
    </w:lvl>
  </w:abstractNum>
  <w:abstractNum w:abstractNumId="3809195">
    <w:lvl>
      <w:numFmt w:val="bullet"/>
      <w:suff w:val="tab"/>
      <w:lvlText w:val="•"/>
      <w:rPr>
        <w:color w:val="3370ff"/>
      </w:rPr>
    </w:lvl>
  </w:abstractNum>
  <w:abstractNum w:abstractNumId="3809196">
    <w:lvl>
      <w:numFmt w:val="bullet"/>
      <w:suff w:val="tab"/>
      <w:lvlText w:val="•"/>
      <w:rPr>
        <w:color w:val="3370ff"/>
      </w:rPr>
    </w:lvl>
  </w:abstractNum>
  <w:abstractNum w:abstractNumId="3809197">
    <w:lvl>
      <w:numFmt w:val="bullet"/>
      <w:suff w:val="tab"/>
      <w:lvlText w:val="•"/>
      <w:rPr>
        <w:color w:val="3370ff"/>
      </w:rPr>
    </w:lvl>
  </w:abstractNum>
  <w:abstractNum w:abstractNumId="3809198">
    <w:lvl>
      <w:numFmt w:val="bullet"/>
      <w:suff w:val="tab"/>
      <w:lvlText w:val="•"/>
      <w:rPr>
        <w:color w:val="3370ff"/>
      </w:rPr>
    </w:lvl>
  </w:abstractNum>
  <w:abstractNum w:abstractNumId="3809199">
    <w:lvl>
      <w:numFmt w:val="bullet"/>
      <w:suff w:val="tab"/>
      <w:lvlText w:val="•"/>
      <w:rPr>
        <w:color w:val="3370ff"/>
      </w:rPr>
    </w:lvl>
  </w:abstractNum>
  <w:abstractNum w:abstractNumId="3809200">
    <w:lvl>
      <w:numFmt w:val="bullet"/>
      <w:suff w:val="tab"/>
      <w:lvlText w:val="•"/>
      <w:rPr>
        <w:color w:val="3370ff"/>
      </w:rPr>
    </w:lvl>
  </w:abstractNum>
  <w:abstractNum w:abstractNumId="3809201">
    <w:lvl>
      <w:numFmt w:val="bullet"/>
      <w:suff w:val="tab"/>
      <w:lvlText w:val="•"/>
      <w:rPr>
        <w:color w:val="3370ff"/>
      </w:rPr>
    </w:lvl>
  </w:abstractNum>
  <w:abstractNum w:abstractNumId="3809202">
    <w:lvl>
      <w:numFmt w:val="bullet"/>
      <w:suff w:val="tab"/>
      <w:lvlText w:val="•"/>
      <w:rPr>
        <w:color w:val="3370ff"/>
      </w:rPr>
    </w:lvl>
  </w:abstractNum>
  <w:abstractNum w:abstractNumId="3809203">
    <w:lvl>
      <w:start w:val="1"/>
      <w:numFmt w:val="decimal"/>
      <w:suff w:val="tab"/>
      <w:lvlText w:val="%1."/>
      <w:rPr>
        <w:color w:val="3370ff"/>
      </w:rPr>
    </w:lvl>
  </w:abstractNum>
  <w:abstractNum w:abstractNumId="3809204">
    <w:lvl>
      <w:start w:val="2"/>
      <w:numFmt w:val="decimal"/>
      <w:suff w:val="tab"/>
      <w:lvlText w:val="%1."/>
      <w:rPr>
        <w:color w:val="3370ff"/>
      </w:rPr>
    </w:lvl>
  </w:abstractNum>
  <w:abstractNum w:abstractNumId="3809205">
    <w:lvl>
      <w:start w:val="3"/>
      <w:numFmt w:val="decimal"/>
      <w:suff w:val="tab"/>
      <w:lvlText w:val="%1."/>
      <w:rPr>
        <w:color w:val="3370ff"/>
      </w:rPr>
    </w:lvl>
  </w:abstractNum>
  <w:abstractNum w:abstractNumId="3809206">
    <w:lvl>
      <w:start w:val="4"/>
      <w:numFmt w:val="decimal"/>
      <w:suff w:val="tab"/>
      <w:lvlText w:val="%1."/>
      <w:rPr>
        <w:color w:val="3370ff"/>
      </w:rPr>
    </w:lvl>
  </w:abstractNum>
  <w:abstractNum w:abstractNumId="3809207">
    <w:lvl>
      <w:numFmt w:val="bullet"/>
      <w:suff w:val="tab"/>
      <w:lvlText w:val="•"/>
      <w:rPr>
        <w:color w:val="3370ff"/>
      </w:rPr>
    </w:lvl>
  </w:abstractNum>
  <w:abstractNum w:abstractNumId="3809208">
    <w:lvl>
      <w:numFmt w:val="bullet"/>
      <w:suff w:val="tab"/>
      <w:lvlText w:val="•"/>
      <w:rPr>
        <w:color w:val="3370ff"/>
      </w:rPr>
    </w:lvl>
  </w:abstractNum>
  <w:abstractNum w:abstractNumId="3809209">
    <w:lvl>
      <w:numFmt w:val="bullet"/>
      <w:suff w:val="tab"/>
      <w:lvlText w:val="•"/>
      <w:rPr>
        <w:color w:val="3370ff"/>
      </w:rPr>
    </w:lvl>
  </w:abstractNum>
  <w:abstractNum w:abstractNumId="3809210">
    <w:lvl>
      <w:numFmt w:val="bullet"/>
      <w:suff w:val="tab"/>
      <w:lvlText w:val="•"/>
      <w:rPr>
        <w:color w:val="3370ff"/>
      </w:rPr>
    </w:lvl>
  </w:abstractNum>
  <w:abstractNum w:abstractNumId="3809211">
    <w:lvl>
      <w:numFmt w:val="bullet"/>
      <w:suff w:val="tab"/>
      <w:lvlText w:val="•"/>
      <w:rPr>
        <w:color w:val="3370ff"/>
      </w:rPr>
    </w:lvl>
  </w:abstractNum>
  <w:abstractNum w:abstractNumId="3809212">
    <w:lvl>
      <w:numFmt w:val="bullet"/>
      <w:suff w:val="tab"/>
      <w:lvlText w:val="•"/>
      <w:rPr>
        <w:color w:val="3370ff"/>
      </w:rPr>
    </w:lvl>
  </w:abstractNum>
  <w:abstractNum w:abstractNumId="3809213">
    <w:lvl>
      <w:numFmt w:val="bullet"/>
      <w:suff w:val="tab"/>
      <w:lvlText w:val="•"/>
      <w:rPr>
        <w:color w:val="3370ff"/>
      </w:rPr>
    </w:lvl>
  </w:abstractNum>
  <w:abstractNum w:abstractNumId="3809214">
    <w:lvl>
      <w:numFmt w:val="bullet"/>
      <w:suff w:val="tab"/>
      <w:lvlText w:val="•"/>
      <w:rPr>
        <w:color w:val="3370ff"/>
      </w:rPr>
    </w:lvl>
  </w:abstractNum>
  <w:abstractNum w:abstractNumId="3809215">
    <w:lvl>
      <w:numFmt w:val="bullet"/>
      <w:suff w:val="tab"/>
      <w:lvlText w:val="•"/>
      <w:rPr>
        <w:color w:val="3370ff"/>
      </w:rPr>
    </w:lvl>
  </w:abstractNum>
  <w:abstractNum w:abstractNumId="3809216">
    <w:lvl>
      <w:numFmt w:val="bullet"/>
      <w:suff w:val="tab"/>
      <w:lvlText w:val="•"/>
      <w:rPr>
        <w:color w:val="3370ff"/>
      </w:rPr>
    </w:lvl>
  </w:abstractNum>
  <w:abstractNum w:abstractNumId="3809217">
    <w:lvl>
      <w:numFmt w:val="bullet"/>
      <w:suff w:val="tab"/>
      <w:lvlText w:val="•"/>
      <w:rPr>
        <w:color w:val="3370ff"/>
      </w:rPr>
    </w:lvl>
  </w:abstractNum>
  <w:abstractNum w:abstractNumId="3809218">
    <w:lvl>
      <w:numFmt w:val="bullet"/>
      <w:suff w:val="tab"/>
      <w:lvlText w:val="•"/>
      <w:rPr>
        <w:color w:val="3370ff"/>
      </w:rPr>
    </w:lvl>
  </w:abstractNum>
  <w:num w:numId="1">
    <w:abstractNumId w:val="3809169"/>
  </w:num>
  <w:num w:numId="2">
    <w:abstractNumId w:val="3809170"/>
  </w:num>
  <w:num w:numId="3">
    <w:abstractNumId w:val="3809171"/>
  </w:num>
  <w:num w:numId="4">
    <w:abstractNumId w:val="3809172"/>
  </w:num>
  <w:num w:numId="5">
    <w:abstractNumId w:val="3809173"/>
  </w:num>
  <w:num w:numId="6">
    <w:abstractNumId w:val="3809174"/>
  </w:num>
  <w:num w:numId="7">
    <w:abstractNumId w:val="3809175"/>
  </w:num>
  <w:num w:numId="8">
    <w:abstractNumId w:val="3809176"/>
  </w:num>
  <w:num w:numId="9">
    <w:abstractNumId w:val="3809177"/>
  </w:num>
  <w:num w:numId="10">
    <w:abstractNumId w:val="3809178"/>
  </w:num>
  <w:num w:numId="11">
    <w:abstractNumId w:val="3809179"/>
  </w:num>
  <w:num w:numId="12">
    <w:abstractNumId w:val="3809180"/>
  </w:num>
  <w:num w:numId="13">
    <w:abstractNumId w:val="3809181"/>
  </w:num>
  <w:num w:numId="14">
    <w:abstractNumId w:val="3809182"/>
  </w:num>
  <w:num w:numId="15">
    <w:abstractNumId w:val="3809183"/>
  </w:num>
  <w:num w:numId="16">
    <w:abstractNumId w:val="3809184"/>
  </w:num>
  <w:num w:numId="17">
    <w:abstractNumId w:val="3809185"/>
  </w:num>
  <w:num w:numId="18">
    <w:abstractNumId w:val="3809186"/>
  </w:num>
  <w:num w:numId="19">
    <w:abstractNumId w:val="3809187"/>
  </w:num>
  <w:num w:numId="20">
    <w:abstractNumId w:val="3809188"/>
  </w:num>
  <w:num w:numId="21">
    <w:abstractNumId w:val="3809189"/>
  </w:num>
  <w:num w:numId="22">
    <w:abstractNumId w:val="3809190"/>
  </w:num>
  <w:num w:numId="23">
    <w:abstractNumId w:val="3809191"/>
  </w:num>
  <w:num w:numId="24">
    <w:abstractNumId w:val="3809192"/>
  </w:num>
  <w:num w:numId="25">
    <w:abstractNumId w:val="3809193"/>
  </w:num>
  <w:num w:numId="26">
    <w:abstractNumId w:val="3809194"/>
  </w:num>
  <w:num w:numId="27">
    <w:abstractNumId w:val="3809195"/>
  </w:num>
  <w:num w:numId="28">
    <w:abstractNumId w:val="3809196"/>
  </w:num>
  <w:num w:numId="29">
    <w:abstractNumId w:val="3809197"/>
  </w:num>
  <w:num w:numId="30">
    <w:abstractNumId w:val="3809198"/>
  </w:num>
  <w:num w:numId="31">
    <w:abstractNumId w:val="3809199"/>
  </w:num>
  <w:num w:numId="32">
    <w:abstractNumId w:val="3809200"/>
  </w:num>
  <w:num w:numId="33">
    <w:abstractNumId w:val="3809201"/>
  </w:num>
  <w:num w:numId="34">
    <w:abstractNumId w:val="3809202"/>
  </w:num>
  <w:num w:numId="35">
    <w:abstractNumId w:val="3809203"/>
  </w:num>
  <w:num w:numId="36">
    <w:abstractNumId w:val="3809204"/>
  </w:num>
  <w:num w:numId="37">
    <w:abstractNumId w:val="3809205"/>
  </w:num>
  <w:num w:numId="38">
    <w:abstractNumId w:val="3809206"/>
  </w:num>
  <w:num w:numId="39">
    <w:abstractNumId w:val="3809207"/>
  </w:num>
  <w:num w:numId="40">
    <w:abstractNumId w:val="3809208"/>
  </w:num>
  <w:num w:numId="41">
    <w:abstractNumId w:val="3809209"/>
  </w:num>
  <w:num w:numId="42">
    <w:abstractNumId w:val="3809210"/>
  </w:num>
  <w:num w:numId="43">
    <w:abstractNumId w:val="3809211"/>
  </w:num>
  <w:num w:numId="44">
    <w:abstractNumId w:val="3809212"/>
  </w:num>
  <w:num w:numId="45">
    <w:abstractNumId w:val="3809213"/>
  </w:num>
  <w:num w:numId="46">
    <w:abstractNumId w:val="3809214"/>
  </w:num>
  <w:num w:numId="47">
    <w:abstractNumId w:val="3809215"/>
  </w:num>
  <w:num w:numId="48">
    <w:abstractNumId w:val="3809216"/>
  </w:num>
  <w:num w:numId="49">
    <w:abstractNumId w:val="3809217"/>
  </w:num>
  <w:num w:numId="50">
    <w:abstractNumId w:val="38092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2025-12-30T09:18:44Z</dcterms:created>
  <dc:creator>Apache POI</dc:creator>
</cp:coreProperties>
</file>