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HL7-aECG格式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4.6 HL7-aECG格式说明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HL7-aECG格式是国际标准的心电图存储格式，格式标准比较复杂。为简化对接工作，可参照模板(aECG-template.aECG)，替换文件中相关字段，来实现标准的心电文件存储。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" w:id="1"/>
      <w:r>
        <w:rPr>
          <w:rFonts w:eastAsia="等线" w:ascii="Arial" w:cs="Arial" w:hAnsi="Arial"/>
          <w:b w:val="true"/>
          <w:sz w:val="24"/>
        </w:rPr>
        <w:t>4.6.1 心电发现时间戳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low表示采集的开始时间，high表示采集的结束时间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526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" w:id="2"/>
      <w:r>
        <w:rPr>
          <w:rFonts w:eastAsia="等线" w:ascii="Arial" w:cs="Arial" w:hAnsi="Arial"/>
          <w:b w:val="true"/>
          <w:sz w:val="24"/>
        </w:rPr>
        <w:t>4.6.2 试验对象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name: 姓名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administrativeGenderCode：性别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code: F(女性)、M(男性)、UN(未区分)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displayName: Female(女性)、Male(男性)、Undifferentiated(未区分)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birthTime: 生日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23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" w:id="3"/>
      <w:r>
        <w:rPr>
          <w:rFonts w:eastAsia="等线" w:ascii="Arial" w:cs="Arial" w:hAnsi="Arial"/>
          <w:b w:val="true"/>
          <w:sz w:val="24"/>
        </w:rPr>
        <w:t>4.6.3 临床试验时间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low表示采集的开始时间，high表示采集的结束时间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287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" w:id="4"/>
      <w:r>
        <w:rPr>
          <w:rFonts w:eastAsia="等线" w:ascii="Arial" w:cs="Arial" w:hAnsi="Arial"/>
          <w:b w:val="true"/>
          <w:sz w:val="24"/>
        </w:rPr>
        <w:t>4.6.4 记录时间和采样率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采集的开始时:head的value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采样率: 1/(increment的value)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620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" w:id="5"/>
      <w:r>
        <w:rPr>
          <w:rFonts w:eastAsia="等线" w:ascii="Arial" w:cs="Arial" w:hAnsi="Arial"/>
          <w:b w:val="true"/>
          <w:sz w:val="24"/>
        </w:rPr>
        <w:t>4.6.5 数据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digits: 每个采样点数值(每次输出2个字节，标识一个心电值)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908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2025-12-31T07:58:31Z</dcterms:created>
  <dc:creator>Apache POI</dc:creator>
</cp:coreProperties>
</file>