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HealthGuard 作为全方位健康管家的核心主动监测引擎</w:t>
      </w:r>
    </w:p>
    <w:p>
      <w:pPr>
        <w:pStyle w:val="1"/>
        <w:spacing w:before="380" w:after="140" w:line="288" w:lineRule="auto"/>
        <w:ind w:left="0"/>
        <w:jc w:val="left"/>
        <w:outlineLvl w:val="0"/>
      </w:pPr>
      <w:bookmarkStart w:name="heading_0" w:id="0"/>
      <w:r>
        <w:rPr>
          <w:rFonts w:eastAsia="等线" w:ascii="Arial" w:cs="Arial" w:hAnsi="Arial"/>
          <w:b w:val="true"/>
          <w:sz w:val="36"/>
        </w:rPr>
        <w:t>一、功能细节</w:t>
      </w:r>
      <w:bookmarkEnd w:id="0"/>
    </w:p>
    <w:p>
      <w:pPr>
        <w:spacing w:before="120" w:after="120" w:line="288" w:lineRule="auto"/>
        <w:ind w:left="0"/>
        <w:jc w:val="left"/>
      </w:pPr>
      <w:r>
        <w:rPr>
          <w:rFonts w:eastAsia="等线" w:ascii="Arial" w:cs="Arial" w:hAnsi="Arial"/>
          <w:b w:val="true"/>
          <w:sz w:val="22"/>
        </w:rPr>
        <w:t>4.1 多维度生理数据持续监测</w:t>
      </w:r>
    </w:p>
    <w:p>
      <w:pPr>
        <w:numPr>
          <w:numId w:val="1"/>
        </w:numPr>
        <w:spacing w:before="120" w:after="120" w:line="288" w:lineRule="auto"/>
        <w:ind w:left="0"/>
        <w:jc w:val="left"/>
      </w:pPr>
      <w:r>
        <w:rPr>
          <w:rFonts w:eastAsia="等线" w:ascii="Arial" w:cs="Arial" w:hAnsi="Arial"/>
          <w:b w:val="true"/>
          <w:sz w:val="22"/>
        </w:rPr>
        <w:t>4.1.1 实时数据采集：</w:t>
      </w:r>
    </w:p>
    <w:p>
      <w:pPr>
        <w:numPr>
          <w:numId w:val="2"/>
        </w:numPr>
        <w:spacing w:before="120" w:after="120" w:line="288" w:lineRule="auto"/>
        <w:ind w:left="453"/>
        <w:jc w:val="left"/>
      </w:pPr>
      <w:r>
        <w:rPr>
          <w:rFonts w:eastAsia="等线" w:ascii="Arial" w:cs="Arial" w:hAnsi="Arial"/>
          <w:sz w:val="22"/>
        </w:rPr>
        <w:t>HealthGuard 应用将在后台运行，并定期（例如，每分钟或根据数据类型有所不同）从 Apple HealthKit 请求最新的生理数据。用户需要在首次使用时授予 HealthGuard 访问相关健康数据的权限。</w:t>
      </w:r>
    </w:p>
    <w:p>
      <w:pPr>
        <w:numPr>
          <w:numId w:val="3"/>
        </w:numPr>
        <w:spacing w:before="120" w:after="120" w:line="288" w:lineRule="auto"/>
        <w:ind w:left="453"/>
        <w:jc w:val="left"/>
      </w:pPr>
      <w:r>
        <w:rPr>
          <w:rFonts w:eastAsia="等线" w:ascii="Arial" w:cs="Arial" w:hAnsi="Arial"/>
          <w:b w:val="true"/>
          <w:sz w:val="22"/>
        </w:rPr>
        <w:t>心率和血氧：</w:t>
      </w:r>
      <w:r>
        <w:rPr>
          <w:rFonts w:eastAsia="等线" w:ascii="Arial" w:cs="Arial" w:hAnsi="Arial"/>
          <w:sz w:val="22"/>
        </w:rPr>
        <w:t xml:space="preserve"> 将使用 Apple Watch 内置的光学传感器数据。HealthGuard 会记录这些数据的实时值，并计算平均值、最大值和最小值。</w:t>
      </w:r>
    </w:p>
    <w:p>
      <w:pPr>
        <w:numPr>
          <w:numId w:val="4"/>
        </w:numPr>
        <w:spacing w:before="120" w:after="120" w:line="288" w:lineRule="auto"/>
        <w:ind w:left="453"/>
        <w:jc w:val="left"/>
      </w:pPr>
      <w:r>
        <w:rPr>
          <w:rFonts w:eastAsia="等线" w:ascii="Arial" w:cs="Arial" w:hAnsi="Arial"/>
          <w:b w:val="true"/>
          <w:sz w:val="22"/>
        </w:rPr>
        <w:t>步数：</w:t>
      </w:r>
      <w:r>
        <w:rPr>
          <w:rFonts w:eastAsia="等线" w:ascii="Arial" w:cs="Arial" w:hAnsi="Arial"/>
          <w:sz w:val="22"/>
        </w:rPr>
        <w:t xml:space="preserve"> 将使用 Apple Watch 或 iPhone 的运动传感器数据，记录每日步数。</w:t>
      </w:r>
    </w:p>
    <w:p>
      <w:pPr>
        <w:numPr>
          <w:numId w:val="5"/>
        </w:numPr>
        <w:spacing w:before="120" w:after="120" w:line="288" w:lineRule="auto"/>
        <w:ind w:left="0"/>
        <w:jc w:val="left"/>
      </w:pPr>
      <w:r>
        <w:rPr>
          <w:rFonts w:eastAsia="等线" w:ascii="Arial" w:cs="Arial" w:hAnsi="Arial"/>
          <w:b w:val="true"/>
          <w:sz w:val="22"/>
        </w:rPr>
        <w:t>4.1.2 睡眠数据分析：</w:t>
      </w:r>
    </w:p>
    <w:p>
      <w:pPr>
        <w:numPr>
          <w:numId w:val="6"/>
        </w:numPr>
        <w:spacing w:before="120" w:after="120" w:line="288" w:lineRule="auto"/>
        <w:ind w:left="453"/>
        <w:jc w:val="left"/>
      </w:pPr>
      <w:r>
        <w:rPr>
          <w:rFonts w:eastAsia="等线" w:ascii="Arial" w:cs="Arial" w:hAnsi="Arial"/>
          <w:sz w:val="22"/>
        </w:rPr>
        <w:t>HealthGuard 将定期从 Apple HealthKit 获取最新的睡眠分析数据，包括总睡眠时长以及各个睡眠阶段（清醒、浅睡、深睡、REM）的时长和比例。</w:t>
      </w:r>
    </w:p>
    <w:p>
      <w:pPr>
        <w:numPr>
          <w:numId w:val="7"/>
        </w:numPr>
        <w:spacing w:before="120" w:after="120" w:line="288" w:lineRule="auto"/>
        <w:ind w:left="453"/>
        <w:jc w:val="left"/>
      </w:pPr>
      <w:r>
        <w:rPr>
          <w:rFonts w:eastAsia="等线" w:ascii="Arial" w:cs="Arial" w:hAnsi="Arial"/>
          <w:b w:val="true"/>
          <w:sz w:val="22"/>
        </w:rPr>
        <w:t>呼吸率：</w:t>
      </w:r>
      <w:r>
        <w:rPr>
          <w:rFonts w:eastAsia="等线" w:ascii="Arial" w:cs="Arial" w:hAnsi="Arial"/>
          <w:sz w:val="22"/>
        </w:rPr>
        <w:t xml:space="preserve"> 如果用户拥有支持的 Apple Watch 型号（Series 8 及以上），HealthGuard 将获取睡眠期间的呼吸率数据。</w:t>
      </w:r>
    </w:p>
    <w:p>
      <w:pPr>
        <w:numPr>
          <w:numId w:val="8"/>
        </w:numPr>
        <w:spacing w:before="120" w:after="120" w:line="288" w:lineRule="auto"/>
        <w:ind w:left="453"/>
        <w:jc w:val="left"/>
      </w:pPr>
      <w:r>
        <w:rPr>
          <w:rFonts w:eastAsia="等线" w:ascii="Arial" w:cs="Arial" w:hAnsi="Arial"/>
          <w:b w:val="true"/>
          <w:sz w:val="22"/>
        </w:rPr>
        <w:t>体温：</w:t>
      </w:r>
      <w:r>
        <w:rPr>
          <w:rFonts w:eastAsia="等线" w:ascii="Arial" w:cs="Arial" w:hAnsi="Arial"/>
          <w:sz w:val="22"/>
        </w:rPr>
        <w:t xml:space="preserve"> 如果用户拥有支持的 Apple Watch 型号（Series 8 及以上），HealthGuard 将获取睡眠期间的手腕温度数据。HealthGuard 会记录温度相对于用户基线的变化。</w:t>
      </w:r>
    </w:p>
    <w:p>
      <w:pPr>
        <w:numPr>
          <w:numId w:val="9"/>
        </w:numPr>
        <w:spacing w:before="120" w:after="120" w:line="288" w:lineRule="auto"/>
        <w:ind w:left="0"/>
        <w:jc w:val="left"/>
      </w:pPr>
      <w:r>
        <w:rPr>
          <w:rFonts w:eastAsia="等线" w:ascii="Arial" w:cs="Arial" w:hAnsi="Arial"/>
          <w:b w:val="true"/>
          <w:sz w:val="22"/>
        </w:rPr>
        <w:t>4.1.3 心率变异性 (HRV) 分析：</w:t>
      </w:r>
    </w:p>
    <w:p>
      <w:pPr>
        <w:numPr>
          <w:numId w:val="10"/>
        </w:numPr>
        <w:spacing w:before="120" w:after="120" w:line="288" w:lineRule="auto"/>
        <w:ind w:left="453"/>
        <w:jc w:val="left"/>
      </w:pPr>
      <w:r>
        <w:rPr>
          <w:rFonts w:eastAsia="等线" w:ascii="Arial" w:cs="Arial" w:hAnsi="Arial"/>
          <w:sz w:val="22"/>
        </w:rPr>
        <w:t>HealthGuard 将定期从 Apple HealthKit 获取 HRV 数据（SDNN 值）。</w:t>
      </w:r>
    </w:p>
    <w:p>
      <w:pPr>
        <w:numPr>
          <w:numId w:val="11"/>
        </w:numPr>
        <w:spacing w:before="120" w:after="120" w:line="288" w:lineRule="auto"/>
        <w:ind w:left="453"/>
        <w:jc w:val="left"/>
      </w:pPr>
      <w:r>
        <w:rPr>
          <w:rFonts w:eastAsia="等线" w:ascii="Arial" w:cs="Arial" w:hAnsi="Arial"/>
          <w:sz w:val="22"/>
        </w:rPr>
        <w:t>应用将计算用户的平均 HRV，并监测其变化趋势。较低的 HRV 可能与压力、疲劳或某些健康状况相关。</w:t>
      </w:r>
    </w:p>
    <w:p>
      <w:pPr>
        <w:numPr>
          <w:numId w:val="12"/>
        </w:numPr>
        <w:spacing w:before="120" w:after="120" w:line="288" w:lineRule="auto"/>
        <w:ind w:left="0"/>
        <w:jc w:val="left"/>
      </w:pPr>
      <w:r>
        <w:rPr>
          <w:rFonts w:eastAsia="等线" w:ascii="Arial" w:cs="Arial" w:hAnsi="Arial"/>
          <w:b w:val="true"/>
          <w:sz w:val="22"/>
        </w:rPr>
        <w:t>4.1.4 数据基线建立与异常检测：</w:t>
      </w:r>
    </w:p>
    <w:p>
      <w:pPr>
        <w:numPr>
          <w:numId w:val="13"/>
        </w:numPr>
        <w:spacing w:before="120" w:after="120" w:line="288" w:lineRule="auto"/>
        <w:ind w:left="453"/>
        <w:jc w:val="left"/>
      </w:pPr>
      <w:r>
        <w:rPr>
          <w:rFonts w:eastAsia="等线" w:ascii="Arial" w:cs="Arial" w:hAnsi="Arial"/>
          <w:b w:val="true"/>
          <w:sz w:val="22"/>
        </w:rPr>
        <w:t>基线建立：</w:t>
      </w:r>
      <w:r>
        <w:rPr>
          <w:rFonts w:eastAsia="等线" w:ascii="Arial" w:cs="Arial" w:hAnsi="Arial"/>
          <w:sz w:val="22"/>
        </w:rPr>
        <w:t xml:space="preserve"> 在用户使用 HealthGuard 的最初几周内，应用将收集用户的生理数据，并利用统计方法为每个指标建立个性化的基线范围（例如，正常的心率范围、典型的睡眠时长、平均 HRV 值）。这个基线会随着时间的推移根据用户的实际数据进行动态调整。</w:t>
      </w:r>
    </w:p>
    <w:p>
      <w:pPr>
        <w:numPr>
          <w:numId w:val="14"/>
        </w:numPr>
        <w:spacing w:before="120" w:after="120" w:line="288" w:lineRule="auto"/>
        <w:ind w:left="453"/>
        <w:jc w:val="left"/>
      </w:pPr>
      <w:r>
        <w:rPr>
          <w:rFonts w:eastAsia="等线" w:ascii="Arial" w:cs="Arial" w:hAnsi="Arial"/>
          <w:b w:val="true"/>
          <w:sz w:val="22"/>
        </w:rPr>
        <w:t>异常检测：</w:t>
      </w:r>
      <w:r>
        <w:rPr>
          <w:rFonts w:eastAsia="等线" w:ascii="Arial" w:cs="Arial" w:hAnsi="Arial"/>
          <w:sz w:val="22"/>
        </w:rPr>
        <w:t xml:space="preserve"> AI 算法将持续监测用户的实时数据，并将其与个性化基线范围进行比较。如果某个指标超出预设的阈值（例如，心率持续高于或低于基线一定幅度，睡眠时长显著减少），则会标记为潜在异常。</w:t>
      </w:r>
    </w:p>
    <w:p>
      <w:pPr>
        <w:spacing w:before="120" w:after="120" w:line="288" w:lineRule="auto"/>
        <w:ind w:left="0"/>
        <w:jc w:val="left"/>
      </w:pPr>
      <w:r>
        <w:rPr>
          <w:rFonts w:eastAsia="等线" w:ascii="Arial" w:cs="Arial" w:hAnsi="Arial"/>
          <w:b w:val="true"/>
          <w:sz w:val="22"/>
        </w:rPr>
        <w:t>4.2 智能异常模式识别与预警</w:t>
      </w:r>
    </w:p>
    <w:p>
      <w:pPr>
        <w:numPr>
          <w:numId w:val="15"/>
        </w:numPr>
        <w:spacing w:before="120" w:after="120" w:line="288" w:lineRule="auto"/>
        <w:ind w:left="0"/>
        <w:jc w:val="left"/>
      </w:pPr>
      <w:r>
        <w:rPr>
          <w:rFonts w:eastAsia="等线" w:ascii="Arial" w:cs="Arial" w:hAnsi="Arial"/>
          <w:b w:val="true"/>
          <w:sz w:val="22"/>
        </w:rPr>
        <w:t>4.2.1 心率异常预警：</w:t>
      </w:r>
    </w:p>
    <w:p>
      <w:pPr>
        <w:numPr>
          <w:numId w:val="16"/>
        </w:numPr>
        <w:spacing w:before="120" w:after="120" w:line="288" w:lineRule="auto"/>
        <w:ind w:left="453"/>
        <w:jc w:val="left"/>
      </w:pPr>
      <w:r>
        <w:rPr>
          <w:rFonts w:eastAsia="等线" w:ascii="Arial" w:cs="Arial" w:hAnsi="Arial"/>
          <w:b w:val="true"/>
          <w:sz w:val="22"/>
        </w:rPr>
        <w:t>过高心率：</w:t>
      </w:r>
      <w:r>
        <w:rPr>
          <w:rFonts w:eastAsia="等线" w:ascii="Arial" w:cs="Arial" w:hAnsi="Arial"/>
          <w:sz w:val="22"/>
        </w:rPr>
        <w:t xml:space="preserve"> 如果用户在静息状态下心率持续超过其个性化基线一定阈值（例如，高于基线 20 bpm 持续 10 分钟），HealthGuard 将发送预警。</w:t>
      </w:r>
    </w:p>
    <w:p>
      <w:pPr>
        <w:numPr>
          <w:numId w:val="17"/>
        </w:numPr>
        <w:spacing w:before="120" w:after="120" w:line="288" w:lineRule="auto"/>
        <w:ind w:left="453"/>
        <w:jc w:val="left"/>
      </w:pPr>
      <w:r>
        <w:rPr>
          <w:rFonts w:eastAsia="等线" w:ascii="Arial" w:cs="Arial" w:hAnsi="Arial"/>
          <w:b w:val="true"/>
          <w:sz w:val="22"/>
        </w:rPr>
        <w:t>过低心率：</w:t>
      </w:r>
      <w:r>
        <w:rPr>
          <w:rFonts w:eastAsia="等线" w:ascii="Arial" w:cs="Arial" w:hAnsi="Arial"/>
          <w:sz w:val="22"/>
        </w:rPr>
        <w:t xml:space="preserve"> 如果用户在清醒状态下心率持续低于其个性化基线一定阈值（例如，低于基线 15 bpm 持续 10 分钟），HealthGuard 将发送预警。</w:t>
      </w:r>
    </w:p>
    <w:p>
      <w:pPr>
        <w:numPr>
          <w:numId w:val="18"/>
        </w:numPr>
        <w:spacing w:before="120" w:after="120" w:line="288" w:lineRule="auto"/>
        <w:ind w:left="453"/>
        <w:jc w:val="left"/>
      </w:pPr>
      <w:r>
        <w:rPr>
          <w:rFonts w:eastAsia="等线" w:ascii="Arial" w:cs="Arial" w:hAnsi="Arial"/>
          <w:b w:val="true"/>
          <w:sz w:val="22"/>
        </w:rPr>
        <w:t>心率突变：</w:t>
      </w:r>
      <w:r>
        <w:rPr>
          <w:rFonts w:eastAsia="等线" w:ascii="Arial" w:cs="Arial" w:hAnsi="Arial"/>
          <w:sz w:val="22"/>
        </w:rPr>
        <w:t xml:space="preserve"> 如果用户的心率在短时间内出现显著的、非运动引起的升高或降低，HealthGuard 将发送预警。</w:t>
      </w:r>
    </w:p>
    <w:p>
      <w:pPr>
        <w:numPr>
          <w:numId w:val="19"/>
        </w:numPr>
        <w:spacing w:before="120" w:after="120" w:line="288" w:lineRule="auto"/>
        <w:ind w:left="0"/>
        <w:jc w:val="left"/>
      </w:pPr>
      <w:r>
        <w:rPr>
          <w:rFonts w:eastAsia="等线" w:ascii="Arial" w:cs="Arial" w:hAnsi="Arial"/>
          <w:b w:val="true"/>
          <w:sz w:val="22"/>
        </w:rPr>
        <w:t>4.2.2 血氧饱和度异常预警：</w:t>
      </w:r>
    </w:p>
    <w:p>
      <w:pPr>
        <w:numPr>
          <w:numId w:val="20"/>
        </w:numPr>
        <w:spacing w:before="120" w:after="120" w:line="288" w:lineRule="auto"/>
        <w:ind w:left="453"/>
        <w:jc w:val="left"/>
      </w:pPr>
      <w:r>
        <w:rPr>
          <w:rFonts w:eastAsia="等线" w:ascii="Arial" w:cs="Arial" w:hAnsi="Arial"/>
          <w:sz w:val="22"/>
        </w:rPr>
        <w:t>如果用户的血氧饱和度持续低于设定的阈值（例如，低于 90% 持续一段时间），HealthGuard 将发送预警。</w:t>
      </w:r>
    </w:p>
    <w:p>
      <w:pPr>
        <w:numPr>
          <w:numId w:val="21"/>
        </w:numPr>
        <w:spacing w:before="120" w:after="120" w:line="288" w:lineRule="auto"/>
        <w:ind w:left="0"/>
        <w:jc w:val="left"/>
      </w:pPr>
      <w:r>
        <w:rPr>
          <w:rFonts w:eastAsia="等线" w:ascii="Arial" w:cs="Arial" w:hAnsi="Arial"/>
          <w:b w:val="true"/>
          <w:sz w:val="22"/>
        </w:rPr>
        <w:t>4.2.3 睡眠模式异常预警：</w:t>
      </w:r>
    </w:p>
    <w:p>
      <w:pPr>
        <w:numPr>
          <w:numId w:val="22"/>
        </w:numPr>
        <w:spacing w:before="120" w:after="120" w:line="288" w:lineRule="auto"/>
        <w:ind w:left="453"/>
        <w:jc w:val="left"/>
      </w:pPr>
      <w:r>
        <w:rPr>
          <w:rFonts w:eastAsia="等线" w:ascii="Arial" w:cs="Arial" w:hAnsi="Arial"/>
          <w:b w:val="true"/>
          <w:sz w:val="22"/>
        </w:rPr>
        <w:t>睡眠时长异常：</w:t>
      </w:r>
      <w:r>
        <w:rPr>
          <w:rFonts w:eastAsia="等线" w:ascii="Arial" w:cs="Arial" w:hAnsi="Arial"/>
          <w:sz w:val="22"/>
        </w:rPr>
        <w:t xml:space="preserve"> 如果用户的总睡眠时长持续显著低于其历史平均水平（例如，连续三天低于平均水平 2 小时），HealthGuard 将发送预警。</w:t>
      </w:r>
    </w:p>
    <w:p>
      <w:pPr>
        <w:numPr>
          <w:numId w:val="23"/>
        </w:numPr>
        <w:spacing w:before="120" w:after="120" w:line="288" w:lineRule="auto"/>
        <w:ind w:left="453"/>
        <w:jc w:val="left"/>
      </w:pPr>
      <w:r>
        <w:rPr>
          <w:rFonts w:eastAsia="等线" w:ascii="Arial" w:cs="Arial" w:hAnsi="Arial"/>
          <w:b w:val="true"/>
          <w:sz w:val="22"/>
        </w:rPr>
        <w:t>睡眠阶段比例异常：</w:t>
      </w:r>
      <w:r>
        <w:rPr>
          <w:rFonts w:eastAsia="等线" w:ascii="Arial" w:cs="Arial" w:hAnsi="Arial"/>
          <w:sz w:val="22"/>
        </w:rPr>
        <w:t xml:space="preserve"> 如果用户的深睡或 REM 睡眠比例持续显著低于正常范围，HealthGuard 将发送预警。</w:t>
      </w:r>
    </w:p>
    <w:p>
      <w:pPr>
        <w:numPr>
          <w:numId w:val="24"/>
        </w:numPr>
        <w:spacing w:before="120" w:after="120" w:line="288" w:lineRule="auto"/>
        <w:ind w:left="453"/>
        <w:jc w:val="left"/>
      </w:pPr>
      <w:r>
        <w:rPr>
          <w:rFonts w:eastAsia="等线" w:ascii="Arial" w:cs="Arial" w:hAnsi="Arial"/>
          <w:b w:val="true"/>
          <w:sz w:val="22"/>
        </w:rPr>
        <w:t>呼吸率异常：</w:t>
      </w:r>
      <w:r>
        <w:rPr>
          <w:rFonts w:eastAsia="等线" w:ascii="Arial" w:cs="Arial" w:hAnsi="Arial"/>
          <w:sz w:val="22"/>
        </w:rPr>
        <w:t xml:space="preserve"> 如果用户睡眠期间的呼吸率持续高于或低于其基线范围一定幅度，HealthGuard 将发送预警。</w:t>
      </w:r>
    </w:p>
    <w:p>
      <w:pPr>
        <w:numPr>
          <w:numId w:val="25"/>
        </w:numPr>
        <w:spacing w:before="120" w:after="120" w:line="288" w:lineRule="auto"/>
        <w:ind w:left="453"/>
        <w:jc w:val="left"/>
      </w:pPr>
      <w:r>
        <w:rPr>
          <w:rFonts w:eastAsia="等线" w:ascii="Arial" w:cs="Arial" w:hAnsi="Arial"/>
          <w:b w:val="true"/>
          <w:sz w:val="22"/>
        </w:rPr>
        <w:t>体温异常：</w:t>
      </w:r>
      <w:r>
        <w:rPr>
          <w:rFonts w:eastAsia="等线" w:ascii="Arial" w:cs="Arial" w:hAnsi="Arial"/>
          <w:sz w:val="22"/>
        </w:rPr>
        <w:t xml:space="preserve"> 如果用户睡眠期间的手腕温度持续高于其基线温度一定幅度，HealthGuard 将发送预警。</w:t>
      </w:r>
    </w:p>
    <w:p>
      <w:pPr>
        <w:numPr>
          <w:numId w:val="26"/>
        </w:numPr>
        <w:spacing w:before="120" w:after="120" w:line="288" w:lineRule="auto"/>
        <w:ind w:left="0"/>
        <w:jc w:val="left"/>
      </w:pPr>
      <w:r>
        <w:rPr>
          <w:rFonts w:eastAsia="等线" w:ascii="Arial" w:cs="Arial" w:hAnsi="Arial"/>
          <w:b w:val="true"/>
          <w:sz w:val="22"/>
        </w:rPr>
        <w:t>4.2.4 HRV 异常模式预警：</w:t>
      </w:r>
    </w:p>
    <w:p>
      <w:pPr>
        <w:numPr>
          <w:numId w:val="27"/>
        </w:numPr>
        <w:spacing w:before="120" w:after="120" w:line="288" w:lineRule="auto"/>
        <w:ind w:left="453"/>
        <w:jc w:val="left"/>
      </w:pPr>
      <w:r>
        <w:rPr>
          <w:rFonts w:eastAsia="等线" w:ascii="Arial" w:cs="Arial" w:hAnsi="Arial"/>
          <w:sz w:val="22"/>
        </w:rPr>
        <w:t>如果用户的 HRV 值持续低于其历史平均水平一定幅度，HealthGuard 将发送预警，提示用户可能处于较高的压力水平或存在其他健康问题。</w:t>
      </w:r>
    </w:p>
    <w:p>
      <w:pPr>
        <w:numPr>
          <w:numId w:val="28"/>
        </w:numPr>
        <w:spacing w:before="120" w:after="120" w:line="288" w:lineRule="auto"/>
        <w:ind w:left="0"/>
        <w:jc w:val="left"/>
      </w:pPr>
      <w:r>
        <w:rPr>
          <w:rFonts w:eastAsia="等线" w:ascii="Arial" w:cs="Arial" w:hAnsi="Arial"/>
          <w:b w:val="true"/>
          <w:sz w:val="22"/>
        </w:rPr>
        <w:t>4.2.5 多指标综合分析：</w:t>
      </w:r>
    </w:p>
    <w:p>
      <w:pPr>
        <w:numPr>
          <w:numId w:val="29"/>
        </w:numPr>
        <w:spacing w:before="120" w:after="120" w:line="288" w:lineRule="auto"/>
        <w:ind w:left="453"/>
        <w:jc w:val="left"/>
      </w:pPr>
      <w:r>
        <w:rPr>
          <w:rFonts w:eastAsia="等线" w:ascii="Arial" w:cs="Arial" w:hAnsi="Arial"/>
          <w:sz w:val="22"/>
        </w:rPr>
        <w:t>AI 算法将分析多个生理指标之间的关联性。例如，如果用户同时出现心率升高、呼吸率加快和体温升高的趋势，HealthGuard 可能会发出更高级别的预警，提示用户可能出现感染等情况。</w:t>
      </w:r>
    </w:p>
    <w:p>
      <w:pPr>
        <w:numPr>
          <w:numId w:val="30"/>
        </w:numPr>
        <w:spacing w:before="120" w:after="120" w:line="288" w:lineRule="auto"/>
        <w:ind w:left="453"/>
        <w:jc w:val="left"/>
      </w:pPr>
      <w:r>
        <w:rPr>
          <w:rFonts w:eastAsia="等线" w:ascii="Arial" w:cs="Arial" w:hAnsi="Arial"/>
          <w:sz w:val="22"/>
        </w:rPr>
        <w:t>预警的触发将基于复杂的模型，该模型会考虑用户的个性化基线、历史数据以及不同指标之间的相互影响，以减少误报。</w:t>
      </w:r>
    </w:p>
    <w:p>
      <w:pPr>
        <w:spacing w:before="120" w:after="120" w:line="288" w:lineRule="auto"/>
        <w:ind w:left="0"/>
        <w:jc w:val="left"/>
      </w:pPr>
      <w:r>
        <w:rPr>
          <w:rFonts w:eastAsia="等线" w:ascii="Arial" w:cs="Arial" w:hAnsi="Arial"/>
          <w:b w:val="true"/>
          <w:sz w:val="22"/>
        </w:rPr>
        <w:t>4.3 个性化健康洞察与建议</w:t>
      </w:r>
    </w:p>
    <w:p>
      <w:pPr>
        <w:numPr>
          <w:numId w:val="31"/>
        </w:numPr>
        <w:spacing w:before="120" w:after="120" w:line="288" w:lineRule="auto"/>
        <w:ind w:left="0"/>
        <w:jc w:val="left"/>
      </w:pPr>
      <w:r>
        <w:rPr>
          <w:rFonts w:eastAsia="等线" w:ascii="Arial" w:cs="Arial" w:hAnsi="Arial"/>
          <w:b w:val="true"/>
          <w:sz w:val="22"/>
        </w:rPr>
        <w:t>4.3.1 异常数据解读：</w:t>
      </w:r>
    </w:p>
    <w:p>
      <w:pPr>
        <w:numPr>
          <w:numId w:val="32"/>
        </w:numPr>
        <w:spacing w:before="120" w:after="120" w:line="288" w:lineRule="auto"/>
        <w:ind w:left="453"/>
        <w:jc w:val="left"/>
      </w:pPr>
      <w:r>
        <w:rPr>
          <w:rFonts w:eastAsia="等线" w:ascii="Arial" w:cs="Arial" w:hAnsi="Arial"/>
          <w:sz w:val="22"/>
        </w:rPr>
        <w:t>当 HealthGuard 发出预警时，通知将包含对异常数据的简要解释，例如：“您的静息心率持续高于您的正常范围，可能与压力、脱水或其他因素有关。”</w:t>
      </w:r>
    </w:p>
    <w:p>
      <w:pPr>
        <w:numPr>
          <w:numId w:val="33"/>
        </w:numPr>
        <w:spacing w:before="120" w:after="120" w:line="288" w:lineRule="auto"/>
        <w:ind w:left="453"/>
        <w:jc w:val="left"/>
      </w:pPr>
      <w:r>
        <w:rPr>
          <w:rFonts w:eastAsia="等线" w:ascii="Arial" w:cs="Arial" w:hAnsi="Arial"/>
          <w:sz w:val="22"/>
        </w:rPr>
        <w:t>用户可以在应用内查看更详细的解读，包括异常数据出现的时间、持续时长以及可能的潜在原因（需要强调这些只是可能性，不能作为医疗诊断）。</w:t>
      </w:r>
    </w:p>
    <w:p>
      <w:pPr>
        <w:numPr>
          <w:numId w:val="34"/>
        </w:numPr>
        <w:spacing w:before="120" w:after="120" w:line="288" w:lineRule="auto"/>
        <w:ind w:left="0"/>
        <w:jc w:val="left"/>
      </w:pPr>
      <w:r>
        <w:rPr>
          <w:rFonts w:eastAsia="等线" w:ascii="Arial" w:cs="Arial" w:hAnsi="Arial"/>
          <w:b w:val="true"/>
          <w:sz w:val="22"/>
        </w:rPr>
        <w:t>4.3.2 行动建议：</w:t>
      </w:r>
    </w:p>
    <w:p>
      <w:pPr>
        <w:numPr>
          <w:numId w:val="35"/>
        </w:numPr>
        <w:spacing w:before="120" w:after="120" w:line="288" w:lineRule="auto"/>
        <w:ind w:left="453"/>
        <w:jc w:val="left"/>
      </w:pPr>
      <w:r>
        <w:rPr>
          <w:rFonts w:eastAsia="等线" w:ascii="Arial" w:cs="Arial" w:hAnsi="Arial"/>
          <w:sz w:val="22"/>
        </w:rPr>
        <w:t>根据异常情况的严重程度和类型，HealthGuard 将提供个性化的建议，例如：“建议您尝试放松心情，确保充足的饮水，并观察后续情况。如果心率持续过高，请咨询医生。”</w:t>
      </w:r>
    </w:p>
    <w:p>
      <w:pPr>
        <w:numPr>
          <w:numId w:val="36"/>
        </w:numPr>
        <w:spacing w:before="120" w:after="120" w:line="288" w:lineRule="auto"/>
        <w:ind w:left="453"/>
        <w:jc w:val="left"/>
      </w:pPr>
      <w:r>
        <w:rPr>
          <w:rFonts w:eastAsia="等线" w:ascii="Arial" w:cs="Arial" w:hAnsi="Arial"/>
          <w:sz w:val="22"/>
        </w:rPr>
        <w:t>对于睡眠相关的异常，可能会建议调整睡前习惯或优化睡眠环境。</w:t>
      </w:r>
    </w:p>
    <w:p>
      <w:pPr>
        <w:numPr>
          <w:numId w:val="37"/>
        </w:numPr>
        <w:spacing w:before="120" w:after="120" w:line="288" w:lineRule="auto"/>
        <w:ind w:left="453"/>
        <w:jc w:val="left"/>
      </w:pPr>
      <w:r>
        <w:rPr>
          <w:rFonts w:eastAsia="等线" w:ascii="Arial" w:cs="Arial" w:hAnsi="Arial"/>
          <w:sz w:val="22"/>
        </w:rPr>
        <w:t>对于 HRV 持续偏低的情况，可能会建议进行减压活动或改善生活方式。</w:t>
      </w:r>
    </w:p>
    <w:p>
      <w:pPr>
        <w:numPr>
          <w:numId w:val="38"/>
        </w:numPr>
        <w:spacing w:before="120" w:after="120" w:line="288" w:lineRule="auto"/>
        <w:ind w:left="0"/>
        <w:jc w:val="left"/>
      </w:pPr>
      <w:r>
        <w:rPr>
          <w:rFonts w:eastAsia="等线" w:ascii="Arial" w:cs="Arial" w:hAnsi="Arial"/>
          <w:b w:val="true"/>
          <w:sz w:val="22"/>
        </w:rPr>
        <w:t>4.3.3 健康趋势报告：</w:t>
      </w:r>
    </w:p>
    <w:p>
      <w:pPr>
        <w:numPr>
          <w:numId w:val="39"/>
        </w:numPr>
        <w:spacing w:before="120" w:after="120" w:line="288" w:lineRule="auto"/>
        <w:ind w:left="453"/>
        <w:jc w:val="left"/>
      </w:pPr>
      <w:r>
        <w:rPr>
          <w:rFonts w:eastAsia="等线" w:ascii="Arial" w:cs="Arial" w:hAnsi="Arial"/>
          <w:sz w:val="22"/>
        </w:rPr>
        <w:t>HealthGuard 将定期（例如，每周或每月）生成健康趋势报告，以图表的形式展示用户各项生理指标的长期变化趋势。</w:t>
      </w:r>
    </w:p>
    <w:p>
      <w:pPr>
        <w:numPr>
          <w:numId w:val="40"/>
        </w:numPr>
        <w:spacing w:before="120" w:after="120" w:line="288" w:lineRule="auto"/>
        <w:ind w:left="453"/>
        <w:jc w:val="left"/>
      </w:pPr>
      <w:r>
        <w:rPr>
          <w:rFonts w:eastAsia="等线" w:ascii="Arial" w:cs="Arial" w:hAnsi="Arial"/>
          <w:sz w:val="22"/>
        </w:rPr>
        <w:t>报告将突出显示重要的变化和模式，例如心率的逐渐升高、睡眠质量的下降等，帮助用户了解自身的健康状况变化。</w:t>
      </w:r>
    </w:p>
    <w:p>
      <w:pPr>
        <w:spacing w:before="120" w:after="120" w:line="288" w:lineRule="auto"/>
        <w:ind w:left="0"/>
        <w:jc w:val="left"/>
      </w:pPr>
      <w:r>
        <w:rPr>
          <w:rFonts w:eastAsia="等线" w:ascii="Arial" w:cs="Arial" w:hAnsi="Arial"/>
          <w:b w:val="true"/>
          <w:sz w:val="22"/>
        </w:rPr>
        <w:t>4.4 安全可靠的提醒机制</w:t>
      </w:r>
    </w:p>
    <w:p>
      <w:pPr>
        <w:numPr>
          <w:numId w:val="41"/>
        </w:numPr>
        <w:spacing w:before="120" w:after="120" w:line="288" w:lineRule="auto"/>
        <w:ind w:left="0"/>
        <w:jc w:val="left"/>
      </w:pPr>
      <w:r>
        <w:rPr>
          <w:rFonts w:eastAsia="等线" w:ascii="Arial" w:cs="Arial" w:hAnsi="Arial"/>
          <w:b w:val="true"/>
          <w:sz w:val="22"/>
        </w:rPr>
        <w:t>4.4.1 iPhone 和 Apple Watch 通知：</w:t>
      </w:r>
    </w:p>
    <w:p>
      <w:pPr>
        <w:numPr>
          <w:numId w:val="42"/>
        </w:numPr>
        <w:spacing w:before="120" w:after="120" w:line="288" w:lineRule="auto"/>
        <w:ind w:left="453"/>
        <w:jc w:val="left"/>
      </w:pPr>
      <w:r>
        <w:rPr>
          <w:rFonts w:eastAsia="等线" w:ascii="Arial" w:cs="Arial" w:hAnsi="Arial"/>
          <w:sz w:val="22"/>
        </w:rPr>
        <w:t>预警通知将通过 Apple Push Notification Service (APNs) 发送到用户的 iPhone 和 Apple Watch。</w:t>
      </w:r>
    </w:p>
    <w:p>
      <w:pPr>
        <w:numPr>
          <w:numId w:val="43"/>
        </w:numPr>
        <w:spacing w:before="120" w:after="120" w:line="288" w:lineRule="auto"/>
        <w:ind w:left="453"/>
        <w:jc w:val="left"/>
      </w:pPr>
      <w:r>
        <w:rPr>
          <w:rFonts w:eastAsia="等线" w:ascii="Arial" w:cs="Arial" w:hAnsi="Arial"/>
          <w:sz w:val="22"/>
        </w:rPr>
        <w:t>通知将包含简洁明了的文字，提示用户存在生理数据异常，并鼓励用户打开 HealthGuard 应用查看详情。</w:t>
      </w:r>
    </w:p>
    <w:p>
      <w:pPr>
        <w:numPr>
          <w:numId w:val="44"/>
        </w:numPr>
        <w:spacing w:before="120" w:after="120" w:line="288" w:lineRule="auto"/>
        <w:ind w:left="0"/>
        <w:jc w:val="left"/>
      </w:pPr>
      <w:r>
        <w:rPr>
          <w:rFonts w:eastAsia="等线" w:ascii="Arial" w:cs="Arial" w:hAnsi="Arial"/>
          <w:b w:val="true"/>
          <w:sz w:val="22"/>
        </w:rPr>
        <w:t>4.4.2 可自定义的通知设置：</w:t>
      </w:r>
    </w:p>
    <w:p>
      <w:pPr>
        <w:numPr>
          <w:numId w:val="45"/>
        </w:numPr>
        <w:spacing w:before="120" w:after="120" w:line="288" w:lineRule="auto"/>
        <w:ind w:left="453"/>
        <w:jc w:val="left"/>
      </w:pPr>
      <w:r>
        <w:rPr>
          <w:rFonts w:eastAsia="等线" w:ascii="Arial" w:cs="Arial" w:hAnsi="Arial"/>
          <w:sz w:val="22"/>
        </w:rPr>
        <w:t>用户可以在 HealthGuard 应用的设置中，自定义接收预警通知的偏好，例如选择接收哪些类型的预警、设置勿扰时段等。</w:t>
      </w:r>
    </w:p>
    <w:p>
      <w:pPr>
        <w:numPr>
          <w:numId w:val="46"/>
        </w:numPr>
        <w:spacing w:before="120" w:after="120" w:line="288" w:lineRule="auto"/>
        <w:ind w:left="453"/>
        <w:jc w:val="left"/>
      </w:pPr>
      <w:r>
        <w:rPr>
          <w:rFonts w:eastAsia="等线" w:ascii="Arial" w:cs="Arial" w:hAnsi="Arial"/>
          <w:sz w:val="22"/>
        </w:rPr>
        <w:t>对于某些指标（例如心率），用户可以根据自己的风险承受能力调整预警的阈值（需要在安全范围内，并提供明确的风险提示）。</w:t>
      </w:r>
    </w:p>
    <w:p>
      <w:pPr>
        <w:spacing w:before="120" w:after="120" w:line="288" w:lineRule="auto"/>
        <w:ind w:left="0"/>
        <w:jc w:val="left"/>
      </w:pPr>
      <w:r>
        <w:rPr>
          <w:rFonts w:eastAsia="等线" w:ascii="Arial" w:cs="Arial" w:hAnsi="Arial"/>
          <w:b w:val="true"/>
          <w:sz w:val="22"/>
        </w:rPr>
        <w:t>4.5 与 Apple Health 的深度整合</w:t>
      </w:r>
    </w:p>
    <w:p>
      <w:pPr>
        <w:numPr>
          <w:numId w:val="47"/>
        </w:numPr>
        <w:spacing w:before="120" w:after="120" w:line="288" w:lineRule="auto"/>
        <w:ind w:left="0"/>
        <w:jc w:val="left"/>
      </w:pPr>
      <w:r>
        <w:rPr>
          <w:rFonts w:eastAsia="等线" w:ascii="Arial" w:cs="Arial" w:hAnsi="Arial"/>
          <w:b w:val="true"/>
          <w:sz w:val="22"/>
        </w:rPr>
        <w:t>4.5.1 数据同步：</w:t>
      </w:r>
    </w:p>
    <w:p>
      <w:pPr>
        <w:numPr>
          <w:numId w:val="48"/>
        </w:numPr>
        <w:spacing w:before="120" w:after="120" w:line="288" w:lineRule="auto"/>
        <w:ind w:left="453"/>
        <w:jc w:val="left"/>
      </w:pPr>
      <w:r>
        <w:rPr>
          <w:rFonts w:eastAsia="等线" w:ascii="Arial" w:cs="Arial" w:hAnsi="Arial"/>
          <w:sz w:val="22"/>
        </w:rPr>
        <w:t>HealthGuard 会将自身分析出的健康洞察（例如，关于心率变异性趋势的解读）、预警信息（例如，检测到心率持续过高）以及用户的长期健康趋势报告同步到 Apple Health 的“健康状况”或“备注”部分。</w:t>
      </w:r>
    </w:p>
    <w:p>
      <w:pPr>
        <w:numPr>
          <w:numId w:val="49"/>
        </w:numPr>
        <w:spacing w:before="120" w:after="120" w:line="288" w:lineRule="auto"/>
        <w:ind w:left="0"/>
        <w:jc w:val="left"/>
      </w:pPr>
      <w:r>
        <w:rPr>
          <w:rFonts w:eastAsia="等线" w:ascii="Arial" w:cs="Arial" w:hAnsi="Arial"/>
          <w:b w:val="true"/>
          <w:sz w:val="22"/>
        </w:rPr>
        <w:t>4.5.2 HealthKit 数据共享：</w:t>
      </w:r>
    </w:p>
    <w:p>
      <w:pPr>
        <w:numPr>
          <w:numId w:val="50"/>
        </w:numPr>
        <w:spacing w:before="120" w:after="120" w:line="288" w:lineRule="auto"/>
        <w:ind w:left="453"/>
        <w:jc w:val="left"/>
      </w:pPr>
      <w:r>
        <w:rPr>
          <w:rFonts w:eastAsia="等线" w:ascii="Arial" w:cs="Arial" w:hAnsi="Arial"/>
          <w:sz w:val="22"/>
        </w:rPr>
        <w:t>HealthGuard 将提供明确的选项，允许用户选择性地将其 HealthGuard 应用内的数据（包括原始生理数据、分析结果和预警信息）分享给他们信任的医疗服务提供者。这需要用户的明确授权。</w:t>
      </w:r>
    </w:p>
    <w:p>
      <w:pPr>
        <w:spacing w:before="120" w:after="120" w:line="288" w:lineRule="auto"/>
        <w:ind w:left="0"/>
        <w:jc w:val="left"/>
      </w:pPr>
      <w:r>
        <w:rPr>
          <w:rFonts w:eastAsia="等线" w:ascii="Arial" w:cs="Arial" w:hAnsi="Arial"/>
          <w:b w:val="true"/>
          <w:sz w:val="22"/>
        </w:rPr>
        <w:t>4.6 安全与隐私保护</w:t>
      </w:r>
    </w:p>
    <w:p>
      <w:pPr>
        <w:numPr>
          <w:numId w:val="51"/>
        </w:numPr>
        <w:spacing w:before="120" w:after="120" w:line="288" w:lineRule="auto"/>
        <w:ind w:left="0"/>
        <w:jc w:val="left"/>
      </w:pPr>
      <w:r>
        <w:rPr>
          <w:rFonts w:eastAsia="等线" w:ascii="Arial" w:cs="Arial" w:hAnsi="Arial"/>
          <w:b w:val="true"/>
          <w:sz w:val="22"/>
        </w:rPr>
        <w:t>4.6.1 高级别数据加密：</w:t>
      </w:r>
    </w:p>
    <w:p>
      <w:pPr>
        <w:numPr>
          <w:numId w:val="52"/>
        </w:numPr>
        <w:spacing w:before="120" w:after="120" w:line="288" w:lineRule="auto"/>
        <w:ind w:left="453"/>
        <w:jc w:val="left"/>
      </w:pPr>
      <w:r>
        <w:rPr>
          <w:rFonts w:eastAsia="等线" w:ascii="Arial" w:cs="Arial" w:hAnsi="Arial"/>
          <w:sz w:val="22"/>
        </w:rPr>
        <w:t>所有在 HealthGuard 应用内以及在设备和后端服务器之间传输的生理数据都将使用端到端加密技术进行保护。</w:t>
      </w:r>
    </w:p>
    <w:p>
      <w:pPr>
        <w:numPr>
          <w:numId w:val="53"/>
        </w:numPr>
        <w:spacing w:before="120" w:after="120" w:line="288" w:lineRule="auto"/>
        <w:ind w:left="453"/>
        <w:jc w:val="left"/>
      </w:pPr>
      <w:r>
        <w:rPr>
          <w:rFonts w:eastAsia="等线" w:ascii="Arial" w:cs="Arial" w:hAnsi="Arial"/>
          <w:sz w:val="22"/>
        </w:rPr>
        <w:t>存储在后端服务器上的数据将采用符合行业标准的加密算法进行静态加密。</w:t>
      </w:r>
    </w:p>
    <w:p>
      <w:pPr>
        <w:numPr>
          <w:numId w:val="54"/>
        </w:numPr>
        <w:spacing w:before="120" w:after="120" w:line="288" w:lineRule="auto"/>
        <w:ind w:left="0"/>
        <w:jc w:val="left"/>
      </w:pPr>
      <w:r>
        <w:rPr>
          <w:rFonts w:eastAsia="等线" w:ascii="Arial" w:cs="Arial" w:hAnsi="Arial"/>
          <w:b w:val="true"/>
          <w:sz w:val="22"/>
        </w:rPr>
        <w:t>4.6.2 严格的隐私政策：</w:t>
      </w:r>
    </w:p>
    <w:p>
      <w:pPr>
        <w:numPr>
          <w:numId w:val="55"/>
        </w:numPr>
        <w:spacing w:before="120" w:after="120" w:line="288" w:lineRule="auto"/>
        <w:ind w:left="453"/>
        <w:jc w:val="left"/>
      </w:pPr>
      <w:r>
        <w:rPr>
          <w:rFonts w:eastAsia="等线" w:ascii="Arial" w:cs="Arial" w:hAnsi="Arial"/>
          <w:sz w:val="22"/>
        </w:rPr>
        <w:t>HealthGuard 将提供清晰易懂且全面的隐私政策，详细说明收集哪些数据、如何使用这些数据、数据存储的位置以及用户的权利。</w:t>
      </w:r>
    </w:p>
    <w:p>
      <w:pPr>
        <w:numPr>
          <w:numId w:val="56"/>
        </w:numPr>
        <w:spacing w:before="120" w:after="120" w:line="288" w:lineRule="auto"/>
        <w:ind w:left="453"/>
        <w:jc w:val="left"/>
      </w:pPr>
      <w:r>
        <w:rPr>
          <w:rFonts w:eastAsia="等线" w:ascii="Arial" w:cs="Arial" w:hAnsi="Arial"/>
          <w:sz w:val="22"/>
        </w:rPr>
        <w:t>承诺不会在未经用户明确同意的情况下将用户的个人健康数据出售给第三方。</w:t>
      </w:r>
    </w:p>
    <w:p>
      <w:pPr>
        <w:numPr>
          <w:numId w:val="57"/>
        </w:numPr>
        <w:spacing w:before="120" w:after="120" w:line="288" w:lineRule="auto"/>
        <w:ind w:left="0"/>
        <w:jc w:val="left"/>
      </w:pPr>
      <w:r>
        <w:rPr>
          <w:rFonts w:eastAsia="等线" w:ascii="Arial" w:cs="Arial" w:hAnsi="Arial"/>
          <w:b w:val="true"/>
          <w:sz w:val="22"/>
        </w:rPr>
        <w:t>4.6.3 用户数据控制权：</w:t>
      </w:r>
    </w:p>
    <w:p>
      <w:pPr>
        <w:numPr>
          <w:numId w:val="58"/>
        </w:numPr>
        <w:spacing w:before="120" w:after="120" w:line="288" w:lineRule="auto"/>
        <w:ind w:left="453"/>
        <w:jc w:val="left"/>
      </w:pPr>
      <w:r>
        <w:rPr>
          <w:rFonts w:eastAsia="等线" w:ascii="Arial" w:cs="Arial" w:hAnsi="Arial"/>
          <w:sz w:val="22"/>
        </w:rPr>
        <w:t>用户可以在 HealthGuard 应用内随时查看、管理和删除自己的所有数据。</w:t>
      </w:r>
    </w:p>
    <w:p>
      <w:pPr>
        <w:numPr>
          <w:numId w:val="59"/>
        </w:numPr>
        <w:spacing w:before="120" w:after="120" w:line="288" w:lineRule="auto"/>
        <w:ind w:left="453"/>
        <w:jc w:val="left"/>
      </w:pPr>
      <w:r>
        <w:rPr>
          <w:rFonts w:eastAsia="等线" w:ascii="Arial" w:cs="Arial" w:hAnsi="Arial"/>
          <w:sz w:val="22"/>
        </w:rPr>
        <w:t>提供便捷的账户注销和数据删除功能。</w:t>
      </w:r>
    </w:p>
    <w:p>
      <w:pPr>
        <w:numPr>
          <w:numId w:val="60"/>
        </w:numPr>
        <w:spacing w:before="120" w:after="120" w:line="288" w:lineRule="auto"/>
        <w:ind w:left="0"/>
        <w:jc w:val="left"/>
      </w:pPr>
      <w:r>
        <w:rPr>
          <w:rFonts w:eastAsia="等线" w:ascii="Arial" w:cs="Arial" w:hAnsi="Arial"/>
          <w:b w:val="true"/>
          <w:sz w:val="22"/>
        </w:rPr>
        <w:t>4.6.4 符合 HIPAA 等法规（目标）：</w:t>
      </w:r>
      <w:r>
        <w:rPr>
          <w:rFonts w:eastAsia="等线" w:ascii="Arial" w:cs="Arial" w:hAnsi="Arial"/>
          <w:sz w:val="22"/>
        </w:rPr>
        <w:t xml:space="preserve"> 虽然 HealthGuard 的初始版本可能侧重于健康监测和预警，但未来的目标是使其符合 HIPAA 等相关的医疗健康数据安全和隐私法规，为用户提供更高级别的保障。</w:t>
      </w:r>
    </w:p>
    <w:p>
      <w:pPr>
        <w:pStyle w:val="1"/>
        <w:spacing w:before="380" w:after="140" w:line="288" w:lineRule="auto"/>
        <w:ind w:left="0"/>
        <w:jc w:val="left"/>
        <w:outlineLvl w:val="0"/>
      </w:pPr>
      <w:bookmarkStart w:name="heading_1" w:id="1"/>
      <w:r>
        <w:rPr>
          <w:rFonts w:eastAsia="等线" w:ascii="Arial" w:cs="Arial" w:hAnsi="Arial"/>
          <w:b w:val="true"/>
          <w:sz w:val="36"/>
        </w:rPr>
        <w:t>二、核心主动监测引擎</w:t>
      </w:r>
      <w:bookmarkEnd w:id="1"/>
    </w:p>
    <w:p>
      <w:pPr>
        <w:spacing w:before="120" w:after="120" w:line="288" w:lineRule="auto"/>
        <w:ind w:left="0"/>
        <w:jc w:val="left"/>
      </w:pPr>
      <w:r>
        <w:rPr>
          <w:rFonts w:eastAsia="等线" w:ascii="Arial" w:cs="Arial" w:hAnsi="Arial"/>
          <w:sz w:val="22"/>
        </w:rPr>
        <w:t>HealthGuard 的核心价值在于其主动监测和早期预警能力，它就像一个智能的“健康雷达”，时刻关注用户的生理数据，并在发现异常时及时发出提醒。在全方位的健康管家体系中，HealthGuard 扮演着至关重要的角色，它为其他健康管理服务提供了重要的基础数据和预警信息，从而提升了整个平台的智能化和个性化水平。</w:t>
      </w:r>
    </w:p>
    <w:p>
      <w:pPr>
        <w:spacing w:before="120" w:after="120" w:line="288" w:lineRule="auto"/>
        <w:ind w:left="0"/>
        <w:jc w:val="left"/>
      </w:pPr>
      <w:r>
        <w:rPr>
          <w:rFonts w:eastAsia="等线" w:ascii="Arial" w:cs="Arial" w:hAnsi="Arial"/>
          <w:b w:val="true"/>
          <w:sz w:val="22"/>
        </w:rPr>
        <w:t>HealthGuard 如何利用 1+8 指标构建全方位健康管家：</w:t>
      </w:r>
    </w:p>
    <w:p>
      <w:pPr>
        <w:numPr>
          <w:numId w:val="61"/>
        </w:numPr>
        <w:spacing w:before="120" w:after="120" w:line="288" w:lineRule="auto"/>
        <w:ind w:left="0"/>
        <w:jc w:val="left"/>
      </w:pPr>
      <w:r>
        <w:rPr>
          <w:rFonts w:eastAsia="等线" w:ascii="Arial" w:cs="Arial" w:hAnsi="Arial"/>
          <w:b w:val="true"/>
          <w:sz w:val="22"/>
        </w:rPr>
        <w:t>心电 (ECG):</w:t>
      </w:r>
    </w:p>
    <w:p>
      <w:pPr>
        <w:numPr>
          <w:numId w:val="62"/>
        </w:numPr>
        <w:spacing w:before="120" w:after="120" w:line="288" w:lineRule="auto"/>
        <w:ind w:left="453"/>
        <w:jc w:val="left"/>
      </w:pPr>
      <w:r>
        <w:rPr>
          <w:rFonts w:eastAsia="等线" w:ascii="Arial" w:cs="Arial" w:hAnsi="Arial"/>
          <w:b w:val="true"/>
          <w:sz w:val="22"/>
        </w:rPr>
        <w:t>HealthGuard 功能：</w:t>
      </w:r>
      <w:r>
        <w:rPr>
          <w:rFonts w:eastAsia="等线" w:ascii="Arial" w:cs="Arial" w:hAnsi="Arial"/>
          <w:sz w:val="22"/>
        </w:rPr>
        <w:t xml:space="preserve"> 分析 ECG 数据，检测可能的心律失常，例如房颤。当检测到异常 ECG 波形时，向用户发出预警，建议进行进一步的医疗评估。</w:t>
      </w:r>
    </w:p>
    <w:p>
      <w:pPr>
        <w:numPr>
          <w:numId w:val="63"/>
        </w:numPr>
        <w:spacing w:before="120" w:after="120" w:line="288" w:lineRule="auto"/>
        <w:ind w:left="453"/>
        <w:jc w:val="left"/>
      </w:pPr>
      <w:r>
        <w:rPr>
          <w:rFonts w:eastAsia="等线" w:ascii="Arial" w:cs="Arial" w:hAnsi="Arial"/>
          <w:b w:val="true"/>
          <w:sz w:val="22"/>
        </w:rPr>
        <w:t>用户喜好：</w:t>
      </w:r>
      <w:r>
        <w:rPr>
          <w:rFonts w:eastAsia="等线" w:ascii="Arial" w:cs="Arial" w:hAnsi="Arial"/>
          <w:sz w:val="22"/>
        </w:rPr>
        <w:t xml:space="preserve"> 对于关注心脏健康的用户，ECG 监测提供了额外的安心感和早期发现潜在问题的机会。</w:t>
      </w:r>
    </w:p>
    <w:p>
      <w:pPr>
        <w:numPr>
          <w:numId w:val="64"/>
        </w:numPr>
        <w:spacing w:before="120" w:after="120" w:line="288" w:lineRule="auto"/>
        <w:ind w:left="453"/>
        <w:jc w:val="left"/>
      </w:pPr>
      <w:r>
        <w:rPr>
          <w:rFonts w:eastAsia="等线" w:ascii="Arial" w:cs="Arial" w:hAnsi="Arial"/>
          <w:b w:val="true"/>
          <w:sz w:val="22"/>
        </w:rPr>
        <w:t>健康宣教：</w:t>
      </w:r>
      <w:r>
        <w:rPr>
          <w:rFonts w:eastAsia="等线" w:ascii="Arial" w:cs="Arial" w:hAnsi="Arial"/>
          <w:sz w:val="22"/>
        </w:rPr>
        <w:t xml:space="preserve"> 提供关于心律失常的风险因素、症状以及及时就医的重要性等科普知识。</w:t>
      </w:r>
    </w:p>
    <w:p>
      <w:pPr>
        <w:numPr>
          <w:numId w:val="65"/>
        </w:numPr>
        <w:spacing w:before="120" w:after="120" w:line="288" w:lineRule="auto"/>
        <w:ind w:left="0"/>
        <w:jc w:val="left"/>
      </w:pPr>
      <w:r>
        <w:rPr>
          <w:rFonts w:eastAsia="等线" w:ascii="Arial" w:cs="Arial" w:hAnsi="Arial"/>
          <w:b w:val="true"/>
          <w:sz w:val="22"/>
        </w:rPr>
        <w:t>步数:</w:t>
      </w:r>
    </w:p>
    <w:p>
      <w:pPr>
        <w:numPr>
          <w:numId w:val="66"/>
        </w:numPr>
        <w:spacing w:before="120" w:after="120" w:line="288" w:lineRule="auto"/>
        <w:ind w:left="453"/>
        <w:jc w:val="left"/>
      </w:pPr>
      <w:r>
        <w:rPr>
          <w:rFonts w:eastAsia="等线" w:ascii="Arial" w:cs="Arial" w:hAnsi="Arial"/>
          <w:b w:val="true"/>
          <w:sz w:val="22"/>
        </w:rPr>
        <w:t>HealthGuard 功能：</w:t>
      </w:r>
      <w:r>
        <w:rPr>
          <w:rFonts w:eastAsia="等线" w:ascii="Arial" w:cs="Arial" w:hAnsi="Arial"/>
          <w:sz w:val="22"/>
        </w:rPr>
        <w:t xml:space="preserve"> 监测用户的每日步数，并与用户的历史数据和健康目标进行比较。如果用户的步数出现显著下降且持续一段时间，可能预示着活动能力下降或潜在的健康问题。</w:t>
      </w:r>
    </w:p>
    <w:p>
      <w:pPr>
        <w:numPr>
          <w:numId w:val="67"/>
        </w:numPr>
        <w:spacing w:before="120" w:after="120" w:line="288" w:lineRule="auto"/>
        <w:ind w:left="453"/>
        <w:jc w:val="left"/>
      </w:pPr>
      <w:r>
        <w:rPr>
          <w:rFonts w:eastAsia="等线" w:ascii="Arial" w:cs="Arial" w:hAnsi="Arial"/>
          <w:b w:val="true"/>
          <w:sz w:val="22"/>
        </w:rPr>
        <w:t>用户喜好：</w:t>
      </w:r>
      <w:r>
        <w:rPr>
          <w:rFonts w:eastAsia="等线" w:ascii="Arial" w:cs="Arial" w:hAnsi="Arial"/>
          <w:sz w:val="22"/>
        </w:rPr>
        <w:t xml:space="preserve"> 对于注重日常活动量的用户，步数监测可以帮助他们了解自己的活跃程度。异常下降的提醒可以促使用户关注自身健康状况。</w:t>
      </w:r>
    </w:p>
    <w:p>
      <w:pPr>
        <w:numPr>
          <w:numId w:val="68"/>
        </w:numPr>
        <w:spacing w:before="120" w:after="120" w:line="288" w:lineRule="auto"/>
        <w:ind w:left="453"/>
        <w:jc w:val="left"/>
      </w:pPr>
      <w:r>
        <w:rPr>
          <w:rFonts w:eastAsia="等线" w:ascii="Arial" w:cs="Arial" w:hAnsi="Arial"/>
          <w:b w:val="true"/>
          <w:sz w:val="22"/>
        </w:rPr>
        <w:t>健康宣教：</w:t>
      </w:r>
      <w:r>
        <w:rPr>
          <w:rFonts w:eastAsia="等线" w:ascii="Arial" w:cs="Arial" w:hAnsi="Arial"/>
          <w:sz w:val="22"/>
        </w:rPr>
        <w:t xml:space="preserve"> 普及适量运动对健康的重要性，以及长期缺乏运动可能带来的风险。</w:t>
      </w:r>
    </w:p>
    <w:p>
      <w:pPr>
        <w:numPr>
          <w:numId w:val="69"/>
        </w:numPr>
        <w:spacing w:before="120" w:after="120" w:line="288" w:lineRule="auto"/>
        <w:ind w:left="0"/>
        <w:jc w:val="left"/>
      </w:pPr>
      <w:r>
        <w:rPr>
          <w:rFonts w:eastAsia="等线" w:ascii="Arial" w:cs="Arial" w:hAnsi="Arial"/>
          <w:b w:val="true"/>
          <w:sz w:val="22"/>
        </w:rPr>
        <w:t>心率:</w:t>
      </w:r>
    </w:p>
    <w:p>
      <w:pPr>
        <w:numPr>
          <w:numId w:val="70"/>
        </w:numPr>
        <w:spacing w:before="120" w:after="120" w:line="288" w:lineRule="auto"/>
        <w:ind w:left="453"/>
        <w:jc w:val="left"/>
      </w:pPr>
      <w:r>
        <w:rPr>
          <w:rFonts w:eastAsia="等线" w:ascii="Arial" w:cs="Arial" w:hAnsi="Arial"/>
          <w:b w:val="true"/>
          <w:sz w:val="22"/>
        </w:rPr>
        <w:t>HealthGuard 功能：</w:t>
      </w:r>
      <w:r>
        <w:rPr>
          <w:rFonts w:eastAsia="等线" w:ascii="Arial" w:cs="Arial" w:hAnsi="Arial"/>
          <w:sz w:val="22"/>
        </w:rPr>
        <w:t xml:space="preserve"> 持续监测用户的静息心率、运动心率以及心率变异性 (HRV)。持续过高或过低的静息心率，以及 HRV 的异常变化，都可能是健康问题的早期信号。</w:t>
      </w:r>
    </w:p>
    <w:p>
      <w:pPr>
        <w:numPr>
          <w:numId w:val="71"/>
        </w:numPr>
        <w:spacing w:before="120" w:after="120" w:line="288" w:lineRule="auto"/>
        <w:ind w:left="453"/>
        <w:jc w:val="left"/>
      </w:pPr>
      <w:r>
        <w:rPr>
          <w:rFonts w:eastAsia="等线" w:ascii="Arial" w:cs="Arial" w:hAnsi="Arial"/>
          <w:b w:val="true"/>
          <w:sz w:val="22"/>
        </w:rPr>
        <w:t>用户喜好：</w:t>
      </w:r>
      <w:r>
        <w:rPr>
          <w:rFonts w:eastAsia="等线" w:ascii="Arial" w:cs="Arial" w:hAnsi="Arial"/>
          <w:sz w:val="22"/>
        </w:rPr>
        <w:t xml:space="preserve"> 用户希望了解自己的心率是否在正常范围内，异常的心率波动能够引起用户的警觉。</w:t>
      </w:r>
    </w:p>
    <w:p>
      <w:pPr>
        <w:numPr>
          <w:numId w:val="72"/>
        </w:numPr>
        <w:spacing w:before="120" w:after="120" w:line="288" w:lineRule="auto"/>
        <w:ind w:left="453"/>
        <w:jc w:val="left"/>
      </w:pPr>
      <w:r>
        <w:rPr>
          <w:rFonts w:eastAsia="等线" w:ascii="Arial" w:cs="Arial" w:hAnsi="Arial"/>
          <w:b w:val="true"/>
          <w:sz w:val="22"/>
        </w:rPr>
        <w:t>健康宣教：</w:t>
      </w:r>
      <w:r>
        <w:rPr>
          <w:rFonts w:eastAsia="等线" w:ascii="Arial" w:cs="Arial" w:hAnsi="Arial"/>
          <w:sz w:val="22"/>
        </w:rPr>
        <w:t xml:space="preserve"> 提供关于正常心率范围、心率异常的可能原因以及 HRV 与压力和整体健康的关系等知识。</w:t>
      </w:r>
    </w:p>
    <w:p>
      <w:pPr>
        <w:numPr>
          <w:numId w:val="73"/>
        </w:numPr>
        <w:spacing w:before="120" w:after="120" w:line="288" w:lineRule="auto"/>
        <w:ind w:left="0"/>
        <w:jc w:val="left"/>
      </w:pPr>
      <w:r>
        <w:rPr>
          <w:rFonts w:eastAsia="等线" w:ascii="Arial" w:cs="Arial" w:hAnsi="Arial"/>
          <w:b w:val="true"/>
          <w:sz w:val="22"/>
        </w:rPr>
        <w:t>血氧:</w:t>
      </w:r>
    </w:p>
    <w:p>
      <w:pPr>
        <w:numPr>
          <w:numId w:val="74"/>
        </w:numPr>
        <w:spacing w:before="120" w:after="120" w:line="288" w:lineRule="auto"/>
        <w:ind w:left="453"/>
        <w:jc w:val="left"/>
      </w:pPr>
      <w:r>
        <w:rPr>
          <w:rFonts w:eastAsia="等线" w:ascii="Arial" w:cs="Arial" w:hAnsi="Arial"/>
          <w:b w:val="true"/>
          <w:sz w:val="22"/>
        </w:rPr>
        <w:t>HealthGuard 功能：</w:t>
      </w:r>
      <w:r>
        <w:rPr>
          <w:rFonts w:eastAsia="等线" w:ascii="Arial" w:cs="Arial" w:hAnsi="Arial"/>
          <w:sz w:val="22"/>
        </w:rPr>
        <w:t xml:space="preserve"> 监测用户的血氧饱和度。持续低于正常范围的血氧可能提示呼吸系统或心血管系统存在问题。</w:t>
      </w:r>
    </w:p>
    <w:p>
      <w:pPr>
        <w:numPr>
          <w:numId w:val="75"/>
        </w:numPr>
        <w:spacing w:before="120" w:after="120" w:line="288" w:lineRule="auto"/>
        <w:ind w:left="453"/>
        <w:jc w:val="left"/>
      </w:pPr>
      <w:r>
        <w:rPr>
          <w:rFonts w:eastAsia="等线" w:ascii="Arial" w:cs="Arial" w:hAnsi="Arial"/>
          <w:b w:val="true"/>
          <w:sz w:val="22"/>
        </w:rPr>
        <w:t>用户喜好：</w:t>
      </w:r>
      <w:r>
        <w:rPr>
          <w:rFonts w:eastAsia="等线" w:ascii="Arial" w:cs="Arial" w:hAnsi="Arial"/>
          <w:sz w:val="22"/>
        </w:rPr>
        <w:t xml:space="preserve"> 对于关注呼吸系统健康或有相关健康问题的用户，血氧监测非常重要。</w:t>
      </w:r>
    </w:p>
    <w:p>
      <w:pPr>
        <w:numPr>
          <w:numId w:val="76"/>
        </w:numPr>
        <w:spacing w:before="120" w:after="120" w:line="288" w:lineRule="auto"/>
        <w:ind w:left="453"/>
        <w:jc w:val="left"/>
      </w:pPr>
      <w:r>
        <w:rPr>
          <w:rFonts w:eastAsia="等线" w:ascii="Arial" w:cs="Arial" w:hAnsi="Arial"/>
          <w:b w:val="true"/>
          <w:sz w:val="22"/>
        </w:rPr>
        <w:t>健康宣教：</w:t>
      </w:r>
      <w:r>
        <w:rPr>
          <w:rFonts w:eastAsia="等线" w:ascii="Arial" w:cs="Arial" w:hAnsi="Arial"/>
          <w:sz w:val="22"/>
        </w:rPr>
        <w:t xml:space="preserve"> 普及正常血氧范围、低血氧的可能原因以及及时就医的重要性等知识。</w:t>
      </w:r>
    </w:p>
    <w:p>
      <w:pPr>
        <w:numPr>
          <w:numId w:val="77"/>
        </w:numPr>
        <w:spacing w:before="120" w:after="120" w:line="288" w:lineRule="auto"/>
        <w:ind w:left="0"/>
        <w:jc w:val="left"/>
      </w:pPr>
      <w:r>
        <w:rPr>
          <w:rFonts w:eastAsia="等线" w:ascii="Arial" w:cs="Arial" w:hAnsi="Arial"/>
          <w:b w:val="true"/>
          <w:sz w:val="22"/>
        </w:rPr>
        <w:t>睡眠（总体时段和阶段）：</w:t>
      </w:r>
    </w:p>
    <w:p>
      <w:pPr>
        <w:numPr>
          <w:numId w:val="78"/>
        </w:numPr>
        <w:spacing w:before="120" w:after="120" w:line="288" w:lineRule="auto"/>
        <w:ind w:left="453"/>
        <w:jc w:val="left"/>
      </w:pPr>
      <w:r>
        <w:rPr>
          <w:rFonts w:eastAsia="等线" w:ascii="Arial" w:cs="Arial" w:hAnsi="Arial"/>
          <w:b w:val="true"/>
          <w:sz w:val="22"/>
        </w:rPr>
        <w:t>HealthGuard 功能：</w:t>
      </w:r>
      <w:r>
        <w:rPr>
          <w:rFonts w:eastAsia="等线" w:ascii="Arial" w:cs="Arial" w:hAnsi="Arial"/>
          <w:sz w:val="22"/>
        </w:rPr>
        <w:t xml:space="preserve"> 分析用户的睡眠时长和各个睡眠阶段的比例。持续的睡眠不足、睡眠质量下降或睡眠阶段比例异常都可能影响健康。</w:t>
      </w:r>
    </w:p>
    <w:p>
      <w:pPr>
        <w:numPr>
          <w:numId w:val="79"/>
        </w:numPr>
        <w:spacing w:before="120" w:after="120" w:line="288" w:lineRule="auto"/>
        <w:ind w:left="453"/>
        <w:jc w:val="left"/>
      </w:pPr>
      <w:r>
        <w:rPr>
          <w:rFonts w:eastAsia="等线" w:ascii="Arial" w:cs="Arial" w:hAnsi="Arial"/>
          <w:b w:val="true"/>
          <w:sz w:val="22"/>
        </w:rPr>
        <w:t>用户喜好：</w:t>
      </w:r>
      <w:r>
        <w:rPr>
          <w:rFonts w:eastAsia="等线" w:ascii="Arial" w:cs="Arial" w:hAnsi="Arial"/>
          <w:sz w:val="22"/>
        </w:rPr>
        <w:t xml:space="preserve"> 用户希望了解自己的睡眠质量，异常的睡眠模式能够提示他们需要关注睡眠健康。</w:t>
      </w:r>
    </w:p>
    <w:p>
      <w:pPr>
        <w:numPr>
          <w:numId w:val="80"/>
        </w:numPr>
        <w:spacing w:before="120" w:after="120" w:line="288" w:lineRule="auto"/>
        <w:ind w:left="453"/>
        <w:jc w:val="left"/>
      </w:pPr>
      <w:r>
        <w:rPr>
          <w:rFonts w:eastAsia="等线" w:ascii="Arial" w:cs="Arial" w:hAnsi="Arial"/>
          <w:b w:val="true"/>
          <w:sz w:val="22"/>
        </w:rPr>
        <w:t>健康宣教：</w:t>
      </w:r>
      <w:r>
        <w:rPr>
          <w:rFonts w:eastAsia="等线" w:ascii="Arial" w:cs="Arial" w:hAnsi="Arial"/>
          <w:sz w:val="22"/>
        </w:rPr>
        <w:t xml:space="preserve"> 提供关于良好睡眠习惯、睡眠不足的危害以及如何改善睡眠质量等科普知识（可以与 Luna 模块联动）。</w:t>
      </w:r>
    </w:p>
    <w:p>
      <w:pPr>
        <w:numPr>
          <w:numId w:val="81"/>
        </w:numPr>
        <w:spacing w:before="120" w:after="120" w:line="288" w:lineRule="auto"/>
        <w:ind w:left="0"/>
        <w:jc w:val="left"/>
      </w:pPr>
      <w:r>
        <w:rPr>
          <w:rFonts w:eastAsia="等线" w:ascii="Arial" w:cs="Arial" w:hAnsi="Arial"/>
          <w:b w:val="true"/>
          <w:sz w:val="22"/>
        </w:rPr>
        <w:t>运动（类型、距离和卡路里）：</w:t>
      </w:r>
    </w:p>
    <w:p>
      <w:pPr>
        <w:numPr>
          <w:numId w:val="82"/>
        </w:numPr>
        <w:spacing w:before="120" w:after="120" w:line="288" w:lineRule="auto"/>
        <w:ind w:left="453"/>
        <w:jc w:val="left"/>
      </w:pPr>
      <w:r>
        <w:rPr>
          <w:rFonts w:eastAsia="等线" w:ascii="Arial" w:cs="Arial" w:hAnsi="Arial"/>
          <w:b w:val="true"/>
          <w:sz w:val="22"/>
        </w:rPr>
        <w:t>HealthGuard 功能：</w:t>
      </w:r>
      <w:r>
        <w:rPr>
          <w:rFonts w:eastAsia="等线" w:ascii="Arial" w:cs="Arial" w:hAnsi="Arial"/>
          <w:sz w:val="22"/>
        </w:rPr>
        <w:t xml:space="preserve"> 虽然 HealthGuard 的核心是监测异常，但运动数据的缺失或显著减少也可能是一个需要关注的信号。例如，用户平时运动规律，但突然运动量大幅减少，可能预示着身体不适或健康问题。</w:t>
      </w:r>
    </w:p>
    <w:p>
      <w:pPr>
        <w:numPr>
          <w:numId w:val="83"/>
        </w:numPr>
        <w:spacing w:before="120" w:after="120" w:line="288" w:lineRule="auto"/>
        <w:ind w:left="453"/>
        <w:jc w:val="left"/>
      </w:pPr>
      <w:r>
        <w:rPr>
          <w:rFonts w:eastAsia="等线" w:ascii="Arial" w:cs="Arial" w:hAnsi="Arial"/>
          <w:b w:val="true"/>
          <w:sz w:val="22"/>
        </w:rPr>
        <w:t>用户喜好：</w:t>
      </w:r>
      <w:r>
        <w:rPr>
          <w:rFonts w:eastAsia="等线" w:ascii="Arial" w:cs="Arial" w:hAnsi="Arial"/>
          <w:sz w:val="22"/>
        </w:rPr>
        <w:t xml:space="preserve"> 对于活跃用户，运动数据的异常变化可以提醒他们注意身体状况。</w:t>
      </w:r>
    </w:p>
    <w:p>
      <w:pPr>
        <w:numPr>
          <w:numId w:val="84"/>
        </w:numPr>
        <w:spacing w:before="120" w:after="120" w:line="288" w:lineRule="auto"/>
        <w:ind w:left="453"/>
        <w:jc w:val="left"/>
      </w:pPr>
      <w:r>
        <w:rPr>
          <w:rFonts w:eastAsia="等线" w:ascii="Arial" w:cs="Arial" w:hAnsi="Arial"/>
          <w:b w:val="true"/>
          <w:sz w:val="22"/>
        </w:rPr>
        <w:t>健康宣教：</w:t>
      </w:r>
      <w:r>
        <w:rPr>
          <w:rFonts w:eastAsia="等线" w:ascii="Arial" w:cs="Arial" w:hAnsi="Arial"/>
          <w:sz w:val="22"/>
        </w:rPr>
        <w:t xml:space="preserve"> 强调规律运动对健康的重要性，以及如何根据自身情况制定合适的运动计划（可以与 Personalized Fitness Coach 模块联动）。</w:t>
      </w:r>
    </w:p>
    <w:p>
      <w:pPr>
        <w:numPr>
          <w:numId w:val="85"/>
        </w:numPr>
        <w:spacing w:before="120" w:after="120" w:line="288" w:lineRule="auto"/>
        <w:ind w:left="0"/>
        <w:jc w:val="left"/>
      </w:pPr>
      <w:r>
        <w:rPr>
          <w:rFonts w:eastAsia="等线" w:ascii="Arial" w:cs="Arial" w:hAnsi="Arial"/>
          <w:b w:val="true"/>
          <w:sz w:val="22"/>
        </w:rPr>
        <w:t>呼吸率:</w:t>
      </w:r>
    </w:p>
    <w:p>
      <w:pPr>
        <w:numPr>
          <w:numId w:val="86"/>
        </w:numPr>
        <w:spacing w:before="120" w:after="120" w:line="288" w:lineRule="auto"/>
        <w:ind w:left="453"/>
        <w:jc w:val="left"/>
      </w:pPr>
      <w:r>
        <w:rPr>
          <w:rFonts w:eastAsia="等线" w:ascii="Arial" w:cs="Arial" w:hAnsi="Arial"/>
          <w:b w:val="true"/>
          <w:sz w:val="22"/>
        </w:rPr>
        <w:t>HealthGuard 功能：</w:t>
      </w:r>
      <w:r>
        <w:rPr>
          <w:rFonts w:eastAsia="等线" w:ascii="Arial" w:cs="Arial" w:hAnsi="Arial"/>
          <w:sz w:val="22"/>
        </w:rPr>
        <w:t xml:space="preserve"> 监测用户睡眠期间的呼吸率。异常的呼吸率可能与呼吸系统疾病或其他健康问题有关。</w:t>
      </w:r>
    </w:p>
    <w:p>
      <w:pPr>
        <w:numPr>
          <w:numId w:val="87"/>
        </w:numPr>
        <w:spacing w:before="120" w:after="120" w:line="288" w:lineRule="auto"/>
        <w:ind w:left="453"/>
        <w:jc w:val="left"/>
      </w:pPr>
      <w:r>
        <w:rPr>
          <w:rFonts w:eastAsia="等线" w:ascii="Arial" w:cs="Arial" w:hAnsi="Arial"/>
          <w:b w:val="true"/>
          <w:sz w:val="22"/>
        </w:rPr>
        <w:t>用户喜好：</w:t>
      </w:r>
      <w:r>
        <w:rPr>
          <w:rFonts w:eastAsia="等线" w:ascii="Arial" w:cs="Arial" w:hAnsi="Arial"/>
          <w:sz w:val="22"/>
        </w:rPr>
        <w:t xml:space="preserve"> 用户可能不会主动关注呼吸率，但异常的提醒能够引起他们的重视。</w:t>
      </w:r>
    </w:p>
    <w:p>
      <w:pPr>
        <w:numPr>
          <w:numId w:val="88"/>
        </w:numPr>
        <w:spacing w:before="120" w:after="120" w:line="288" w:lineRule="auto"/>
        <w:ind w:left="453"/>
        <w:jc w:val="left"/>
      </w:pPr>
      <w:r>
        <w:rPr>
          <w:rFonts w:eastAsia="等线" w:ascii="Arial" w:cs="Arial" w:hAnsi="Arial"/>
          <w:b w:val="true"/>
          <w:sz w:val="22"/>
        </w:rPr>
        <w:t>健康宣教：</w:t>
      </w:r>
      <w:r>
        <w:rPr>
          <w:rFonts w:eastAsia="等线" w:ascii="Arial" w:cs="Arial" w:hAnsi="Arial"/>
          <w:sz w:val="22"/>
        </w:rPr>
        <w:t xml:space="preserve"> 普及正常呼吸率范围、异常呼吸率的可能原因以及与睡眠呼吸暂停等疾病的关联。</w:t>
      </w:r>
    </w:p>
    <w:p>
      <w:pPr>
        <w:numPr>
          <w:numId w:val="89"/>
        </w:numPr>
        <w:spacing w:before="120" w:after="120" w:line="288" w:lineRule="auto"/>
        <w:ind w:left="0"/>
        <w:jc w:val="left"/>
      </w:pPr>
      <w:r>
        <w:rPr>
          <w:rFonts w:eastAsia="等线" w:ascii="Arial" w:cs="Arial" w:hAnsi="Arial"/>
          <w:b w:val="true"/>
          <w:sz w:val="22"/>
        </w:rPr>
        <w:t>体温（睡眠期间手腕温度）：</w:t>
      </w:r>
    </w:p>
    <w:p>
      <w:pPr>
        <w:numPr>
          <w:numId w:val="90"/>
        </w:numPr>
        <w:spacing w:before="120" w:after="120" w:line="288" w:lineRule="auto"/>
        <w:ind w:left="453"/>
        <w:jc w:val="left"/>
      </w:pPr>
      <w:r>
        <w:rPr>
          <w:rFonts w:eastAsia="等线" w:ascii="Arial" w:cs="Arial" w:hAnsi="Arial"/>
          <w:b w:val="true"/>
          <w:sz w:val="22"/>
        </w:rPr>
        <w:t>HealthGuard 功能：</w:t>
      </w:r>
      <w:r>
        <w:rPr>
          <w:rFonts w:eastAsia="等线" w:ascii="Arial" w:cs="Arial" w:hAnsi="Arial"/>
          <w:sz w:val="22"/>
        </w:rPr>
        <w:t xml:space="preserve"> 监测用户睡眠期间的手腕温度变化。持续升高的体温可能预示着感染或其他炎症反应。</w:t>
      </w:r>
    </w:p>
    <w:p>
      <w:pPr>
        <w:numPr>
          <w:numId w:val="91"/>
        </w:numPr>
        <w:spacing w:before="120" w:after="120" w:line="288" w:lineRule="auto"/>
        <w:ind w:left="453"/>
        <w:jc w:val="left"/>
      </w:pPr>
      <w:r>
        <w:rPr>
          <w:rFonts w:eastAsia="等线" w:ascii="Arial" w:cs="Arial" w:hAnsi="Arial"/>
          <w:b w:val="true"/>
          <w:sz w:val="22"/>
        </w:rPr>
        <w:t>用户喜好：</w:t>
      </w:r>
      <w:r>
        <w:rPr>
          <w:rFonts w:eastAsia="等线" w:ascii="Arial" w:cs="Arial" w:hAnsi="Arial"/>
          <w:sz w:val="22"/>
        </w:rPr>
        <w:t xml:space="preserve"> 用户可能不会主动监测体温，但异常升高的提醒能够提示他们可能生病了。</w:t>
      </w:r>
    </w:p>
    <w:p>
      <w:pPr>
        <w:numPr>
          <w:numId w:val="92"/>
        </w:numPr>
        <w:spacing w:before="120" w:after="120" w:line="288" w:lineRule="auto"/>
        <w:ind w:left="453"/>
        <w:jc w:val="left"/>
      </w:pPr>
      <w:r>
        <w:rPr>
          <w:rFonts w:eastAsia="等线" w:ascii="Arial" w:cs="Arial" w:hAnsi="Arial"/>
          <w:b w:val="true"/>
          <w:sz w:val="22"/>
        </w:rPr>
        <w:t>健康宣教：</w:t>
      </w:r>
      <w:r>
        <w:rPr>
          <w:rFonts w:eastAsia="等线" w:ascii="Arial" w:cs="Arial" w:hAnsi="Arial"/>
          <w:sz w:val="22"/>
        </w:rPr>
        <w:t xml:space="preserve"> 普及发烧的常见原因以及何时需要就医等知识。</w:t>
      </w:r>
    </w:p>
    <w:p>
      <w:pPr>
        <w:numPr>
          <w:numId w:val="93"/>
        </w:numPr>
        <w:spacing w:before="120" w:after="120" w:line="288" w:lineRule="auto"/>
        <w:ind w:left="0"/>
        <w:jc w:val="left"/>
      </w:pPr>
      <w:r>
        <w:rPr>
          <w:rFonts w:eastAsia="等线" w:ascii="Arial" w:cs="Arial" w:hAnsi="Arial"/>
          <w:b w:val="true"/>
          <w:sz w:val="22"/>
        </w:rPr>
        <w:t>心率变异性 (HRV):</w:t>
      </w:r>
    </w:p>
    <w:p>
      <w:pPr>
        <w:numPr>
          <w:numId w:val="94"/>
        </w:numPr>
        <w:spacing w:before="120" w:after="120" w:line="288" w:lineRule="auto"/>
        <w:ind w:left="453"/>
        <w:jc w:val="left"/>
      </w:pPr>
      <w:r>
        <w:rPr>
          <w:rFonts w:eastAsia="等线" w:ascii="Arial" w:cs="Arial" w:hAnsi="Arial"/>
          <w:b w:val="true"/>
          <w:sz w:val="22"/>
        </w:rPr>
        <w:t>HealthGuard 功能：</w:t>
      </w:r>
      <w:r>
        <w:rPr>
          <w:rFonts w:eastAsia="等线" w:ascii="Arial" w:cs="Arial" w:hAnsi="Arial"/>
          <w:sz w:val="22"/>
        </w:rPr>
        <w:t xml:space="preserve"> 分析用户的 HRV 数据，以评估其自主神经系统的平衡状态。持续较低的 HRV 可能与压力过大、疲劳、炎症或某些疾病相关。</w:t>
      </w:r>
    </w:p>
    <w:p>
      <w:pPr>
        <w:numPr>
          <w:numId w:val="95"/>
        </w:numPr>
        <w:spacing w:before="120" w:after="120" w:line="288" w:lineRule="auto"/>
        <w:ind w:left="453"/>
        <w:jc w:val="left"/>
      </w:pPr>
      <w:r>
        <w:rPr>
          <w:rFonts w:eastAsia="等线" w:ascii="Arial" w:cs="Arial" w:hAnsi="Arial"/>
          <w:b w:val="true"/>
          <w:sz w:val="22"/>
        </w:rPr>
        <w:t>用户喜好：</w:t>
      </w:r>
      <w:r>
        <w:rPr>
          <w:rFonts w:eastAsia="等线" w:ascii="Arial" w:cs="Arial" w:hAnsi="Arial"/>
          <w:sz w:val="22"/>
        </w:rPr>
        <w:t xml:space="preserve"> 用户可能对 HRV 的概念不熟悉，但 HealthGuard 可以将 HRV 的变化解读为压力水平或身体恢复状态的指标，帮助他们更好地了解自己的身心状况（可以与 Serene 模块联动）。</w:t>
      </w:r>
    </w:p>
    <w:p>
      <w:pPr>
        <w:numPr>
          <w:numId w:val="96"/>
        </w:numPr>
        <w:spacing w:before="120" w:after="120" w:line="288" w:lineRule="auto"/>
        <w:ind w:left="453"/>
        <w:jc w:val="left"/>
      </w:pPr>
      <w:r>
        <w:rPr>
          <w:rFonts w:eastAsia="等线" w:ascii="Arial" w:cs="Arial" w:hAnsi="Arial"/>
          <w:b w:val="true"/>
          <w:sz w:val="22"/>
        </w:rPr>
        <w:t>健康宣教：</w:t>
      </w:r>
      <w:r>
        <w:rPr>
          <w:rFonts w:eastAsia="等线" w:ascii="Arial" w:cs="Arial" w:hAnsi="Arial"/>
          <w:sz w:val="22"/>
        </w:rPr>
        <w:t xml:space="preserve"> 普及 HRV 的概念、其与压力和健康的关系，以及如何通过健康的生活方式来改善 HRV。</w:t>
      </w:r>
    </w:p>
    <w:p>
      <w:pPr>
        <w:spacing w:before="120" w:after="120" w:line="288" w:lineRule="auto"/>
        <w:ind w:left="0"/>
        <w:jc w:val="left"/>
      </w:pPr>
      <w:r>
        <w:rPr>
          <w:rFonts w:eastAsia="等线" w:ascii="Arial" w:cs="Arial" w:hAnsi="Arial"/>
          <w:b w:val="true"/>
          <w:sz w:val="22"/>
        </w:rPr>
        <w:t>HealthGuard 在全方位健康管家中的角色和价值：</w:t>
      </w:r>
    </w:p>
    <w:p>
      <w:pPr>
        <w:numPr>
          <w:numId w:val="97"/>
        </w:numPr>
        <w:spacing w:before="120" w:after="120" w:line="288" w:lineRule="auto"/>
        <w:ind w:left="0"/>
        <w:jc w:val="left"/>
      </w:pPr>
      <w:r>
        <w:rPr>
          <w:rFonts w:eastAsia="等线" w:ascii="Arial" w:cs="Arial" w:hAnsi="Arial"/>
          <w:b w:val="true"/>
          <w:sz w:val="22"/>
        </w:rPr>
        <w:t>主动性与预防性：</w:t>
      </w:r>
      <w:r>
        <w:rPr>
          <w:rFonts w:eastAsia="等线" w:ascii="Arial" w:cs="Arial" w:hAnsi="Arial"/>
          <w:sz w:val="22"/>
        </w:rPr>
        <w:t xml:space="preserve"> HealthGuard 的核心在于主动监测和早期预警，这符合未来医疗健康的发展趋势，从被动治疗转向主动预防。</w:t>
      </w:r>
    </w:p>
    <w:p>
      <w:pPr>
        <w:numPr>
          <w:numId w:val="98"/>
        </w:numPr>
        <w:spacing w:before="120" w:after="120" w:line="288" w:lineRule="auto"/>
        <w:ind w:left="0"/>
        <w:jc w:val="left"/>
      </w:pPr>
      <w:r>
        <w:rPr>
          <w:rFonts w:eastAsia="等线" w:ascii="Arial" w:cs="Arial" w:hAnsi="Arial"/>
          <w:b w:val="true"/>
          <w:sz w:val="22"/>
        </w:rPr>
        <w:t>个性化健康风险评估的基础：</w:t>
      </w:r>
      <w:r>
        <w:rPr>
          <w:rFonts w:eastAsia="等线" w:ascii="Arial" w:cs="Arial" w:hAnsi="Arial"/>
          <w:sz w:val="22"/>
        </w:rPr>
        <w:t xml:space="preserve"> HealthGuard 提供的数据是进行更深入个性化健康风险评估的重要基础。</w:t>
      </w:r>
    </w:p>
    <w:p>
      <w:pPr>
        <w:numPr>
          <w:numId w:val="99"/>
        </w:numPr>
        <w:spacing w:before="120" w:after="120" w:line="288" w:lineRule="auto"/>
        <w:ind w:left="0"/>
        <w:jc w:val="left"/>
      </w:pPr>
      <w:r>
        <w:rPr>
          <w:rFonts w:eastAsia="等线" w:ascii="Arial" w:cs="Arial" w:hAnsi="Arial"/>
          <w:b w:val="true"/>
          <w:sz w:val="22"/>
        </w:rPr>
        <w:t>连接其他健康服务模块的桥梁：</w:t>
      </w:r>
      <w:r>
        <w:rPr>
          <w:rFonts w:eastAsia="等线" w:ascii="Arial" w:cs="Arial" w:hAnsi="Arial"/>
          <w:sz w:val="22"/>
        </w:rPr>
        <w:t xml:space="preserve"> HealthGuard 的预警信息可以触发其他健康服务模块的介入。例如，如果 HealthGuard 检测到用户睡眠质量持续下降，Luna 可能会主动提供更深入的睡眠分析和建议；如果 HRV 持续偏低，Serene 可能会推荐减压练习。</w:t>
      </w:r>
    </w:p>
    <w:p>
      <w:pPr>
        <w:numPr>
          <w:numId w:val="100"/>
        </w:numPr>
        <w:spacing w:before="120" w:after="120" w:line="288" w:lineRule="auto"/>
        <w:ind w:left="0"/>
        <w:jc w:val="left"/>
      </w:pPr>
      <w:r>
        <w:rPr>
          <w:rFonts w:eastAsia="等线" w:ascii="Arial" w:cs="Arial" w:hAnsi="Arial"/>
          <w:b w:val="true"/>
          <w:sz w:val="22"/>
        </w:rPr>
        <w:t>提升用户对自身健康的掌控感：</w:t>
      </w:r>
      <w:r>
        <w:rPr>
          <w:rFonts w:eastAsia="等线" w:ascii="Arial" w:cs="Arial" w:hAnsi="Arial"/>
          <w:sz w:val="22"/>
        </w:rPr>
        <w:t xml:space="preserve"> 通过 HealthGuard，用户能够更直观地了解自己的生理数据变化，并及时采取行动。</w:t>
      </w:r>
    </w:p>
    <w:p>
      <w:pPr>
        <w:spacing w:before="120" w:after="120" w:line="288" w:lineRule="auto"/>
        <w:ind w:left="0"/>
        <w:jc w:val="left"/>
      </w:pPr>
      <w:r>
        <w:rPr>
          <w:rFonts w:eastAsia="等线" w:ascii="Arial" w:cs="Arial" w:hAnsi="Arial"/>
          <w:b w:val="true"/>
          <w:sz w:val="22"/>
        </w:rPr>
        <w:t>用户喜好考虑：</w:t>
      </w:r>
    </w:p>
    <w:p>
      <w:pPr>
        <w:numPr>
          <w:numId w:val="101"/>
        </w:numPr>
        <w:spacing w:before="120" w:after="120" w:line="288" w:lineRule="auto"/>
        <w:ind w:left="0"/>
        <w:jc w:val="left"/>
      </w:pPr>
      <w:r>
        <w:rPr>
          <w:rFonts w:eastAsia="等线" w:ascii="Arial" w:cs="Arial" w:hAnsi="Arial"/>
          <w:b w:val="true"/>
          <w:sz w:val="22"/>
        </w:rPr>
        <w:t>易用性：</w:t>
      </w:r>
      <w:r>
        <w:rPr>
          <w:rFonts w:eastAsia="等线" w:ascii="Arial" w:cs="Arial" w:hAnsi="Arial"/>
          <w:sz w:val="22"/>
        </w:rPr>
        <w:t xml:space="preserve"> HealthGuard 需要在后台静默运行，避免给用户带来过多的干扰。预警信息需要清晰简洁，并提供易于理解的解读。</w:t>
      </w:r>
    </w:p>
    <w:p>
      <w:pPr>
        <w:numPr>
          <w:numId w:val="102"/>
        </w:numPr>
        <w:spacing w:before="120" w:after="120" w:line="288" w:lineRule="auto"/>
        <w:ind w:left="0"/>
        <w:jc w:val="left"/>
      </w:pPr>
      <w:r>
        <w:rPr>
          <w:rFonts w:eastAsia="等线" w:ascii="Arial" w:cs="Arial" w:hAnsi="Arial"/>
          <w:b w:val="true"/>
          <w:sz w:val="22"/>
        </w:rPr>
        <w:t>准确性与可靠性：</w:t>
      </w:r>
      <w:r>
        <w:rPr>
          <w:rFonts w:eastAsia="等线" w:ascii="Arial" w:cs="Arial" w:hAnsi="Arial"/>
          <w:sz w:val="22"/>
        </w:rPr>
        <w:t xml:space="preserve"> 预警的准确性至关重要，需要通过先进的算法和模型来降低误报率。</w:t>
      </w:r>
    </w:p>
    <w:p>
      <w:pPr>
        <w:numPr>
          <w:numId w:val="103"/>
        </w:numPr>
        <w:spacing w:before="120" w:after="120" w:line="288" w:lineRule="auto"/>
        <w:ind w:left="0"/>
        <w:jc w:val="left"/>
      </w:pPr>
      <w:r>
        <w:rPr>
          <w:rFonts w:eastAsia="等线" w:ascii="Arial" w:cs="Arial" w:hAnsi="Arial"/>
          <w:b w:val="true"/>
          <w:sz w:val="22"/>
        </w:rPr>
        <w:t>个性化：</w:t>
      </w:r>
      <w:r>
        <w:rPr>
          <w:rFonts w:eastAsia="等线" w:ascii="Arial" w:cs="Arial" w:hAnsi="Arial"/>
          <w:sz w:val="22"/>
        </w:rPr>
        <w:t xml:space="preserve"> 预警阈值和解读需要基于用户的个性化基线进行调整。</w:t>
      </w:r>
    </w:p>
    <w:p>
      <w:pPr>
        <w:numPr>
          <w:numId w:val="104"/>
        </w:numPr>
        <w:spacing w:before="120" w:after="120" w:line="288" w:lineRule="auto"/>
        <w:ind w:left="0"/>
        <w:jc w:val="left"/>
      </w:pPr>
      <w:r>
        <w:rPr>
          <w:rFonts w:eastAsia="等线" w:ascii="Arial" w:cs="Arial" w:hAnsi="Arial"/>
          <w:b w:val="true"/>
          <w:sz w:val="22"/>
        </w:rPr>
        <w:t>隐私保护：</w:t>
      </w:r>
      <w:r>
        <w:rPr>
          <w:rFonts w:eastAsia="等线" w:ascii="Arial" w:cs="Arial" w:hAnsi="Arial"/>
          <w:sz w:val="22"/>
        </w:rPr>
        <w:t xml:space="preserve"> 用户对健康数据的隐私非常敏感，HealthGuard 需要提供最高级别的数据安全保障和透明的隐私政策。</w:t>
      </w:r>
    </w:p>
    <w:p>
      <w:pPr>
        <w:spacing w:before="120" w:after="120" w:line="288" w:lineRule="auto"/>
        <w:ind w:left="0"/>
        <w:jc w:val="left"/>
      </w:pPr>
      <w:r>
        <w:rPr>
          <w:rFonts w:eastAsia="等线" w:ascii="Arial" w:cs="Arial" w:hAnsi="Arial"/>
          <w:b w:val="true"/>
          <w:sz w:val="22"/>
        </w:rPr>
        <w:t>健康宣教策略：</w:t>
      </w:r>
    </w:p>
    <w:p>
      <w:pPr>
        <w:numPr>
          <w:numId w:val="105"/>
        </w:numPr>
        <w:spacing w:before="120" w:after="120" w:line="288" w:lineRule="auto"/>
        <w:ind w:left="0"/>
        <w:jc w:val="left"/>
      </w:pPr>
      <w:r>
        <w:rPr>
          <w:rFonts w:eastAsia="等线" w:ascii="Arial" w:cs="Arial" w:hAnsi="Arial"/>
          <w:b w:val="true"/>
          <w:sz w:val="22"/>
        </w:rPr>
        <w:t>情境化教育：</w:t>
      </w:r>
      <w:r>
        <w:rPr>
          <w:rFonts w:eastAsia="等线" w:ascii="Arial" w:cs="Arial" w:hAnsi="Arial"/>
          <w:sz w:val="22"/>
        </w:rPr>
        <w:t xml:space="preserve"> 在 HealthGuard 发出预警或提供健康洞察时，结合相关的健康知识进行科普，帮助用户理解数据背后的含义。</w:t>
      </w:r>
    </w:p>
    <w:p>
      <w:pPr>
        <w:numPr>
          <w:numId w:val="106"/>
        </w:numPr>
        <w:spacing w:before="120" w:after="120" w:line="288" w:lineRule="auto"/>
        <w:ind w:left="0"/>
        <w:jc w:val="left"/>
      </w:pPr>
      <w:r>
        <w:rPr>
          <w:rFonts w:eastAsia="等线" w:ascii="Arial" w:cs="Arial" w:hAnsi="Arial"/>
          <w:b w:val="true"/>
          <w:sz w:val="22"/>
        </w:rPr>
        <w:t>简洁明了的语言：</w:t>
      </w:r>
      <w:r>
        <w:rPr>
          <w:rFonts w:eastAsia="等线" w:ascii="Arial" w:cs="Arial" w:hAnsi="Arial"/>
          <w:sz w:val="22"/>
        </w:rPr>
        <w:t xml:space="preserve"> 避免使用过于专业的术语，用通俗易懂的语言向用户解释健康知识。</w:t>
      </w:r>
    </w:p>
    <w:p>
      <w:pPr>
        <w:numPr>
          <w:numId w:val="107"/>
        </w:numPr>
        <w:spacing w:before="120" w:after="120" w:line="288" w:lineRule="auto"/>
        <w:ind w:left="0"/>
        <w:jc w:val="left"/>
      </w:pPr>
      <w:r>
        <w:rPr>
          <w:rFonts w:eastAsia="等线" w:ascii="Arial" w:cs="Arial" w:hAnsi="Arial"/>
          <w:b w:val="true"/>
          <w:sz w:val="22"/>
        </w:rPr>
        <w:t>可操作的建议：</w:t>
      </w:r>
      <w:r>
        <w:rPr>
          <w:rFonts w:eastAsia="等线" w:ascii="Arial" w:cs="Arial" w:hAnsi="Arial"/>
          <w:sz w:val="22"/>
        </w:rPr>
        <w:t xml:space="preserve"> 提供的健康建议需要具体可行，方便用户在日常生活中实践。</w:t>
      </w:r>
    </w:p>
    <w:p>
      <w:pPr>
        <w:numPr>
          <w:numId w:val="108"/>
        </w:numPr>
        <w:spacing w:before="120" w:after="120" w:line="288" w:lineRule="auto"/>
        <w:ind w:left="0"/>
        <w:jc w:val="left"/>
      </w:pPr>
      <w:r>
        <w:rPr>
          <w:rFonts w:eastAsia="等线" w:ascii="Arial" w:cs="Arial" w:hAnsi="Arial"/>
          <w:b w:val="true"/>
          <w:sz w:val="22"/>
        </w:rPr>
        <w:t>与专业资源连接：</w:t>
      </w:r>
      <w:r>
        <w:rPr>
          <w:rFonts w:eastAsia="等线" w:ascii="Arial" w:cs="Arial" w:hAnsi="Arial"/>
          <w:sz w:val="22"/>
        </w:rPr>
        <w:t xml:space="preserve"> 在适当的时候，引导用户获取更专业的医疗资源，例如推荐咨询医生或进行体检。</w:t>
      </w:r>
    </w:p>
    <w:p>
      <w:pPr>
        <w:spacing w:before="120" w:after="120" w:line="288" w:lineRule="auto"/>
        <w:ind w:left="0"/>
        <w:jc w:val="left"/>
      </w:pPr>
      <w:r>
        <w:rPr>
          <w:rFonts w:eastAsia="等线" w:ascii="Arial" w:cs="Arial" w:hAnsi="Arial"/>
          <w:b w:val="true"/>
          <w:sz w:val="22"/>
        </w:rPr>
        <w:t>总结：</w:t>
      </w:r>
    </w:p>
    <w:p>
      <w:pPr>
        <w:spacing w:before="120" w:after="120" w:line="288" w:lineRule="auto"/>
        <w:ind w:left="0"/>
        <w:jc w:val="left"/>
      </w:pPr>
      <w:r>
        <w:rPr>
          <w:rFonts w:eastAsia="等线" w:ascii="Arial" w:cs="Arial" w:hAnsi="Arial"/>
          <w:sz w:val="22"/>
        </w:rPr>
        <w:t>HealthGuard 作为全方位健康管家的核心主动监测引擎，能够有效地利用 1+8 指标，为用户提供个性化的健康预警和洞察。通过深入理解用户喜好，并结合有效的健康宣教策略，HealthGuard 不仅能提升用户对自身健康的关注度，更能赋能用户采取积极的措施来维护和改善他们的健康。它与其他健康服务模块的无缝集成，将共同构建一个更智能、更全面的健康管理生态系统。</w:t>
      </w:r>
    </w:p>
    <w:p>
      <w:pPr>
        <w:spacing w:before="120" w:after="120" w:line="288" w:lineRule="auto"/>
        <w:ind w:left="0"/>
        <w:jc w:val="left"/>
      </w:pPr>
    </w:p>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749054">
    <w:lvl>
      <w:numFmt w:val="bullet"/>
      <w:suff w:val="tab"/>
      <w:lvlText w:val="•"/>
      <w:rPr>
        <w:color w:val="3370ff"/>
      </w:rPr>
    </w:lvl>
  </w:abstractNum>
  <w:abstractNum w:abstractNumId="749055">
    <w:lvl>
      <w:numFmt w:val="bullet"/>
      <w:suff w:val="tab"/>
      <w:lvlText w:val="￮"/>
      <w:rPr>
        <w:color w:val="3370ff"/>
      </w:rPr>
    </w:lvl>
  </w:abstractNum>
  <w:abstractNum w:abstractNumId="749056">
    <w:lvl>
      <w:numFmt w:val="bullet"/>
      <w:suff w:val="tab"/>
      <w:lvlText w:val="￮"/>
      <w:rPr>
        <w:color w:val="3370ff"/>
      </w:rPr>
    </w:lvl>
  </w:abstractNum>
  <w:abstractNum w:abstractNumId="749057">
    <w:lvl>
      <w:numFmt w:val="bullet"/>
      <w:suff w:val="tab"/>
      <w:lvlText w:val="￮"/>
      <w:rPr>
        <w:color w:val="3370ff"/>
      </w:rPr>
    </w:lvl>
  </w:abstractNum>
  <w:abstractNum w:abstractNumId="749058">
    <w:lvl>
      <w:numFmt w:val="bullet"/>
      <w:suff w:val="tab"/>
      <w:lvlText w:val="•"/>
      <w:rPr>
        <w:color w:val="3370ff"/>
      </w:rPr>
    </w:lvl>
  </w:abstractNum>
  <w:abstractNum w:abstractNumId="749059">
    <w:lvl>
      <w:numFmt w:val="bullet"/>
      <w:suff w:val="tab"/>
      <w:lvlText w:val="￮"/>
      <w:rPr>
        <w:color w:val="3370ff"/>
      </w:rPr>
    </w:lvl>
  </w:abstractNum>
  <w:abstractNum w:abstractNumId="749060">
    <w:lvl>
      <w:numFmt w:val="bullet"/>
      <w:suff w:val="tab"/>
      <w:lvlText w:val="￮"/>
      <w:rPr>
        <w:color w:val="3370ff"/>
      </w:rPr>
    </w:lvl>
  </w:abstractNum>
  <w:abstractNum w:abstractNumId="749061">
    <w:lvl>
      <w:numFmt w:val="bullet"/>
      <w:suff w:val="tab"/>
      <w:lvlText w:val="￮"/>
      <w:rPr>
        <w:color w:val="3370ff"/>
      </w:rPr>
    </w:lvl>
  </w:abstractNum>
  <w:abstractNum w:abstractNumId="749062">
    <w:lvl>
      <w:numFmt w:val="bullet"/>
      <w:suff w:val="tab"/>
      <w:lvlText w:val="•"/>
      <w:rPr>
        <w:color w:val="3370ff"/>
      </w:rPr>
    </w:lvl>
  </w:abstractNum>
  <w:abstractNum w:abstractNumId="749063">
    <w:lvl>
      <w:numFmt w:val="bullet"/>
      <w:suff w:val="tab"/>
      <w:lvlText w:val="￮"/>
      <w:rPr>
        <w:color w:val="3370ff"/>
      </w:rPr>
    </w:lvl>
  </w:abstractNum>
  <w:abstractNum w:abstractNumId="749064">
    <w:lvl>
      <w:numFmt w:val="bullet"/>
      <w:suff w:val="tab"/>
      <w:lvlText w:val="￮"/>
      <w:rPr>
        <w:color w:val="3370ff"/>
      </w:rPr>
    </w:lvl>
  </w:abstractNum>
  <w:abstractNum w:abstractNumId="749065">
    <w:lvl>
      <w:numFmt w:val="bullet"/>
      <w:suff w:val="tab"/>
      <w:lvlText w:val="•"/>
      <w:rPr>
        <w:color w:val="3370ff"/>
      </w:rPr>
    </w:lvl>
  </w:abstractNum>
  <w:abstractNum w:abstractNumId="749066">
    <w:lvl>
      <w:numFmt w:val="bullet"/>
      <w:suff w:val="tab"/>
      <w:lvlText w:val="￮"/>
      <w:rPr>
        <w:color w:val="3370ff"/>
      </w:rPr>
    </w:lvl>
  </w:abstractNum>
  <w:abstractNum w:abstractNumId="749067">
    <w:lvl>
      <w:numFmt w:val="bullet"/>
      <w:suff w:val="tab"/>
      <w:lvlText w:val="￮"/>
      <w:rPr>
        <w:color w:val="3370ff"/>
      </w:rPr>
    </w:lvl>
  </w:abstractNum>
  <w:abstractNum w:abstractNumId="749068">
    <w:lvl>
      <w:numFmt w:val="bullet"/>
      <w:suff w:val="tab"/>
      <w:lvlText w:val="•"/>
      <w:rPr>
        <w:color w:val="3370ff"/>
      </w:rPr>
    </w:lvl>
  </w:abstractNum>
  <w:abstractNum w:abstractNumId="749069">
    <w:lvl>
      <w:numFmt w:val="bullet"/>
      <w:suff w:val="tab"/>
      <w:lvlText w:val="￮"/>
      <w:rPr>
        <w:color w:val="3370ff"/>
      </w:rPr>
    </w:lvl>
  </w:abstractNum>
  <w:abstractNum w:abstractNumId="749070">
    <w:lvl>
      <w:numFmt w:val="bullet"/>
      <w:suff w:val="tab"/>
      <w:lvlText w:val="￮"/>
      <w:rPr>
        <w:color w:val="3370ff"/>
      </w:rPr>
    </w:lvl>
  </w:abstractNum>
  <w:abstractNum w:abstractNumId="749071">
    <w:lvl>
      <w:numFmt w:val="bullet"/>
      <w:suff w:val="tab"/>
      <w:lvlText w:val="￮"/>
      <w:rPr>
        <w:color w:val="3370ff"/>
      </w:rPr>
    </w:lvl>
  </w:abstractNum>
  <w:abstractNum w:abstractNumId="749072">
    <w:lvl>
      <w:numFmt w:val="bullet"/>
      <w:suff w:val="tab"/>
      <w:lvlText w:val="•"/>
      <w:rPr>
        <w:color w:val="3370ff"/>
      </w:rPr>
    </w:lvl>
  </w:abstractNum>
  <w:abstractNum w:abstractNumId="749073">
    <w:lvl>
      <w:numFmt w:val="bullet"/>
      <w:suff w:val="tab"/>
      <w:lvlText w:val="￮"/>
      <w:rPr>
        <w:color w:val="3370ff"/>
      </w:rPr>
    </w:lvl>
  </w:abstractNum>
  <w:abstractNum w:abstractNumId="749074">
    <w:lvl>
      <w:numFmt w:val="bullet"/>
      <w:suff w:val="tab"/>
      <w:lvlText w:val="•"/>
      <w:rPr>
        <w:color w:val="3370ff"/>
      </w:rPr>
    </w:lvl>
  </w:abstractNum>
  <w:abstractNum w:abstractNumId="749075">
    <w:lvl>
      <w:numFmt w:val="bullet"/>
      <w:suff w:val="tab"/>
      <w:lvlText w:val="￮"/>
      <w:rPr>
        <w:color w:val="3370ff"/>
      </w:rPr>
    </w:lvl>
  </w:abstractNum>
  <w:abstractNum w:abstractNumId="749076">
    <w:lvl>
      <w:numFmt w:val="bullet"/>
      <w:suff w:val="tab"/>
      <w:lvlText w:val="￮"/>
      <w:rPr>
        <w:color w:val="3370ff"/>
      </w:rPr>
    </w:lvl>
  </w:abstractNum>
  <w:abstractNum w:abstractNumId="749077">
    <w:lvl>
      <w:numFmt w:val="bullet"/>
      <w:suff w:val="tab"/>
      <w:lvlText w:val="￮"/>
      <w:rPr>
        <w:color w:val="3370ff"/>
      </w:rPr>
    </w:lvl>
  </w:abstractNum>
  <w:abstractNum w:abstractNumId="749078">
    <w:lvl>
      <w:numFmt w:val="bullet"/>
      <w:suff w:val="tab"/>
      <w:lvlText w:val="￮"/>
      <w:rPr>
        <w:color w:val="3370ff"/>
      </w:rPr>
    </w:lvl>
  </w:abstractNum>
  <w:abstractNum w:abstractNumId="749079">
    <w:lvl>
      <w:numFmt w:val="bullet"/>
      <w:suff w:val="tab"/>
      <w:lvlText w:val="•"/>
      <w:rPr>
        <w:color w:val="3370ff"/>
      </w:rPr>
    </w:lvl>
  </w:abstractNum>
  <w:abstractNum w:abstractNumId="749080">
    <w:lvl>
      <w:numFmt w:val="bullet"/>
      <w:suff w:val="tab"/>
      <w:lvlText w:val="￮"/>
      <w:rPr>
        <w:color w:val="3370ff"/>
      </w:rPr>
    </w:lvl>
  </w:abstractNum>
  <w:abstractNum w:abstractNumId="749081">
    <w:lvl>
      <w:numFmt w:val="bullet"/>
      <w:suff w:val="tab"/>
      <w:lvlText w:val="•"/>
      <w:rPr>
        <w:color w:val="3370ff"/>
      </w:rPr>
    </w:lvl>
  </w:abstractNum>
  <w:abstractNum w:abstractNumId="749082">
    <w:lvl>
      <w:numFmt w:val="bullet"/>
      <w:suff w:val="tab"/>
      <w:lvlText w:val="￮"/>
      <w:rPr>
        <w:color w:val="3370ff"/>
      </w:rPr>
    </w:lvl>
  </w:abstractNum>
  <w:abstractNum w:abstractNumId="749083">
    <w:lvl>
      <w:numFmt w:val="bullet"/>
      <w:suff w:val="tab"/>
      <w:lvlText w:val="￮"/>
      <w:rPr>
        <w:color w:val="3370ff"/>
      </w:rPr>
    </w:lvl>
  </w:abstractNum>
  <w:abstractNum w:abstractNumId="749084">
    <w:lvl>
      <w:numFmt w:val="bullet"/>
      <w:suff w:val="tab"/>
      <w:lvlText w:val="•"/>
      <w:rPr>
        <w:color w:val="3370ff"/>
      </w:rPr>
    </w:lvl>
  </w:abstractNum>
  <w:abstractNum w:abstractNumId="749085">
    <w:lvl>
      <w:numFmt w:val="bullet"/>
      <w:suff w:val="tab"/>
      <w:lvlText w:val="￮"/>
      <w:rPr>
        <w:color w:val="3370ff"/>
      </w:rPr>
    </w:lvl>
  </w:abstractNum>
  <w:abstractNum w:abstractNumId="749086">
    <w:lvl>
      <w:numFmt w:val="bullet"/>
      <w:suff w:val="tab"/>
      <w:lvlText w:val="￮"/>
      <w:rPr>
        <w:color w:val="3370ff"/>
      </w:rPr>
    </w:lvl>
  </w:abstractNum>
  <w:abstractNum w:abstractNumId="749087">
    <w:lvl>
      <w:numFmt w:val="bullet"/>
      <w:suff w:val="tab"/>
      <w:lvlText w:val="•"/>
      <w:rPr>
        <w:color w:val="3370ff"/>
      </w:rPr>
    </w:lvl>
  </w:abstractNum>
  <w:abstractNum w:abstractNumId="749088">
    <w:lvl>
      <w:numFmt w:val="bullet"/>
      <w:suff w:val="tab"/>
      <w:lvlText w:val="￮"/>
      <w:rPr>
        <w:color w:val="3370ff"/>
      </w:rPr>
    </w:lvl>
  </w:abstractNum>
  <w:abstractNum w:abstractNumId="749089">
    <w:lvl>
      <w:numFmt w:val="bullet"/>
      <w:suff w:val="tab"/>
      <w:lvlText w:val="￮"/>
      <w:rPr>
        <w:color w:val="3370ff"/>
      </w:rPr>
    </w:lvl>
  </w:abstractNum>
  <w:abstractNum w:abstractNumId="749090">
    <w:lvl>
      <w:numFmt w:val="bullet"/>
      <w:suff w:val="tab"/>
      <w:lvlText w:val="￮"/>
      <w:rPr>
        <w:color w:val="3370ff"/>
      </w:rPr>
    </w:lvl>
  </w:abstractNum>
  <w:abstractNum w:abstractNumId="749091">
    <w:lvl>
      <w:numFmt w:val="bullet"/>
      <w:suff w:val="tab"/>
      <w:lvlText w:val="•"/>
      <w:rPr>
        <w:color w:val="3370ff"/>
      </w:rPr>
    </w:lvl>
  </w:abstractNum>
  <w:abstractNum w:abstractNumId="749092">
    <w:lvl>
      <w:numFmt w:val="bullet"/>
      <w:suff w:val="tab"/>
      <w:lvlText w:val="￮"/>
      <w:rPr>
        <w:color w:val="3370ff"/>
      </w:rPr>
    </w:lvl>
  </w:abstractNum>
  <w:abstractNum w:abstractNumId="749093">
    <w:lvl>
      <w:numFmt w:val="bullet"/>
      <w:suff w:val="tab"/>
      <w:lvlText w:val="￮"/>
      <w:rPr>
        <w:color w:val="3370ff"/>
      </w:rPr>
    </w:lvl>
  </w:abstractNum>
  <w:abstractNum w:abstractNumId="749094">
    <w:lvl>
      <w:numFmt w:val="bullet"/>
      <w:suff w:val="tab"/>
      <w:lvlText w:val="•"/>
      <w:rPr>
        <w:color w:val="3370ff"/>
      </w:rPr>
    </w:lvl>
  </w:abstractNum>
  <w:abstractNum w:abstractNumId="749095">
    <w:lvl>
      <w:numFmt w:val="bullet"/>
      <w:suff w:val="tab"/>
      <w:lvlText w:val="￮"/>
      <w:rPr>
        <w:color w:val="3370ff"/>
      </w:rPr>
    </w:lvl>
  </w:abstractNum>
  <w:abstractNum w:abstractNumId="749096">
    <w:lvl>
      <w:numFmt w:val="bullet"/>
      <w:suff w:val="tab"/>
      <w:lvlText w:val="￮"/>
      <w:rPr>
        <w:color w:val="3370ff"/>
      </w:rPr>
    </w:lvl>
  </w:abstractNum>
  <w:abstractNum w:abstractNumId="749097">
    <w:lvl>
      <w:numFmt w:val="bullet"/>
      <w:suff w:val="tab"/>
      <w:lvlText w:val="•"/>
      <w:rPr>
        <w:color w:val="3370ff"/>
      </w:rPr>
    </w:lvl>
  </w:abstractNum>
  <w:abstractNum w:abstractNumId="749098">
    <w:lvl>
      <w:numFmt w:val="bullet"/>
      <w:suff w:val="tab"/>
      <w:lvlText w:val="￮"/>
      <w:rPr>
        <w:color w:val="3370ff"/>
      </w:rPr>
    </w:lvl>
  </w:abstractNum>
  <w:abstractNum w:abstractNumId="749099">
    <w:lvl>
      <w:numFmt w:val="bullet"/>
      <w:suff w:val="tab"/>
      <w:lvlText w:val="￮"/>
      <w:rPr>
        <w:color w:val="3370ff"/>
      </w:rPr>
    </w:lvl>
  </w:abstractNum>
  <w:abstractNum w:abstractNumId="749100">
    <w:lvl>
      <w:numFmt w:val="bullet"/>
      <w:suff w:val="tab"/>
      <w:lvlText w:val="•"/>
      <w:rPr>
        <w:color w:val="3370ff"/>
      </w:rPr>
    </w:lvl>
  </w:abstractNum>
  <w:abstractNum w:abstractNumId="749101">
    <w:lvl>
      <w:numFmt w:val="bullet"/>
      <w:suff w:val="tab"/>
      <w:lvlText w:val="￮"/>
      <w:rPr>
        <w:color w:val="3370ff"/>
      </w:rPr>
    </w:lvl>
  </w:abstractNum>
  <w:abstractNum w:abstractNumId="749102">
    <w:lvl>
      <w:numFmt w:val="bullet"/>
      <w:suff w:val="tab"/>
      <w:lvlText w:val="•"/>
      <w:rPr>
        <w:color w:val="3370ff"/>
      </w:rPr>
    </w:lvl>
  </w:abstractNum>
  <w:abstractNum w:abstractNumId="749103">
    <w:lvl>
      <w:numFmt w:val="bullet"/>
      <w:suff w:val="tab"/>
      <w:lvlText w:val="￮"/>
      <w:rPr>
        <w:color w:val="3370ff"/>
      </w:rPr>
    </w:lvl>
  </w:abstractNum>
  <w:abstractNum w:abstractNumId="749104">
    <w:lvl>
      <w:numFmt w:val="bullet"/>
      <w:suff w:val="tab"/>
      <w:lvlText w:val="•"/>
      <w:rPr>
        <w:color w:val="3370ff"/>
      </w:rPr>
    </w:lvl>
  </w:abstractNum>
  <w:abstractNum w:abstractNumId="749105">
    <w:lvl>
      <w:numFmt w:val="bullet"/>
      <w:suff w:val="tab"/>
      <w:lvlText w:val="￮"/>
      <w:rPr>
        <w:color w:val="3370ff"/>
      </w:rPr>
    </w:lvl>
  </w:abstractNum>
  <w:abstractNum w:abstractNumId="749106">
    <w:lvl>
      <w:numFmt w:val="bullet"/>
      <w:suff w:val="tab"/>
      <w:lvlText w:val="￮"/>
      <w:rPr>
        <w:color w:val="3370ff"/>
      </w:rPr>
    </w:lvl>
  </w:abstractNum>
  <w:abstractNum w:abstractNumId="749107">
    <w:lvl>
      <w:numFmt w:val="bullet"/>
      <w:suff w:val="tab"/>
      <w:lvlText w:val="•"/>
      <w:rPr>
        <w:color w:val="3370ff"/>
      </w:rPr>
    </w:lvl>
  </w:abstractNum>
  <w:abstractNum w:abstractNumId="749108">
    <w:lvl>
      <w:numFmt w:val="bullet"/>
      <w:suff w:val="tab"/>
      <w:lvlText w:val="￮"/>
      <w:rPr>
        <w:color w:val="3370ff"/>
      </w:rPr>
    </w:lvl>
  </w:abstractNum>
  <w:abstractNum w:abstractNumId="749109">
    <w:lvl>
      <w:numFmt w:val="bullet"/>
      <w:suff w:val="tab"/>
      <w:lvlText w:val="￮"/>
      <w:rPr>
        <w:color w:val="3370ff"/>
      </w:rPr>
    </w:lvl>
  </w:abstractNum>
  <w:abstractNum w:abstractNumId="749110">
    <w:lvl>
      <w:numFmt w:val="bullet"/>
      <w:suff w:val="tab"/>
      <w:lvlText w:val="•"/>
      <w:rPr>
        <w:color w:val="3370ff"/>
      </w:rPr>
    </w:lvl>
  </w:abstractNum>
  <w:abstractNum w:abstractNumId="749111">
    <w:lvl>
      <w:numFmt w:val="bullet"/>
      <w:suff w:val="tab"/>
      <w:lvlText w:val="￮"/>
      <w:rPr>
        <w:color w:val="3370ff"/>
      </w:rPr>
    </w:lvl>
  </w:abstractNum>
  <w:abstractNum w:abstractNumId="749112">
    <w:lvl>
      <w:numFmt w:val="bullet"/>
      <w:suff w:val="tab"/>
      <w:lvlText w:val="￮"/>
      <w:rPr>
        <w:color w:val="3370ff"/>
      </w:rPr>
    </w:lvl>
  </w:abstractNum>
  <w:abstractNum w:abstractNumId="749113">
    <w:lvl>
      <w:numFmt w:val="bullet"/>
      <w:suff w:val="tab"/>
      <w:lvlText w:val="•"/>
      <w:rPr>
        <w:color w:val="3370ff"/>
      </w:rPr>
    </w:lvl>
  </w:abstractNum>
  <w:abstractNum w:abstractNumId="749114">
    <w:lvl>
      <w:start w:val="1"/>
      <w:numFmt w:val="decimal"/>
      <w:suff w:val="tab"/>
      <w:lvlText w:val="%1."/>
      <w:rPr>
        <w:color w:val="3370ff"/>
      </w:rPr>
    </w:lvl>
  </w:abstractNum>
  <w:abstractNum w:abstractNumId="749115">
    <w:lvl>
      <w:numFmt w:val="bullet"/>
      <w:suff w:val="tab"/>
      <w:lvlText w:val="￮"/>
      <w:rPr>
        <w:color w:val="3370ff"/>
      </w:rPr>
    </w:lvl>
  </w:abstractNum>
  <w:abstractNum w:abstractNumId="749116">
    <w:lvl>
      <w:numFmt w:val="bullet"/>
      <w:suff w:val="tab"/>
      <w:lvlText w:val="￮"/>
      <w:rPr>
        <w:color w:val="3370ff"/>
      </w:rPr>
    </w:lvl>
  </w:abstractNum>
  <w:abstractNum w:abstractNumId="749117">
    <w:lvl>
      <w:numFmt w:val="bullet"/>
      <w:suff w:val="tab"/>
      <w:lvlText w:val="￮"/>
      <w:rPr>
        <w:color w:val="3370ff"/>
      </w:rPr>
    </w:lvl>
  </w:abstractNum>
  <w:abstractNum w:abstractNumId="749118">
    <w:lvl>
      <w:start w:val="2"/>
      <w:numFmt w:val="decimal"/>
      <w:suff w:val="tab"/>
      <w:lvlText w:val="%1."/>
      <w:rPr>
        <w:color w:val="3370ff"/>
      </w:rPr>
    </w:lvl>
  </w:abstractNum>
  <w:abstractNum w:abstractNumId="749119">
    <w:lvl>
      <w:numFmt w:val="bullet"/>
      <w:suff w:val="tab"/>
      <w:lvlText w:val="￮"/>
      <w:rPr>
        <w:color w:val="3370ff"/>
      </w:rPr>
    </w:lvl>
  </w:abstractNum>
  <w:abstractNum w:abstractNumId="749120">
    <w:lvl>
      <w:numFmt w:val="bullet"/>
      <w:suff w:val="tab"/>
      <w:lvlText w:val="￮"/>
      <w:rPr>
        <w:color w:val="3370ff"/>
      </w:rPr>
    </w:lvl>
  </w:abstractNum>
  <w:abstractNum w:abstractNumId="749121">
    <w:lvl>
      <w:numFmt w:val="bullet"/>
      <w:suff w:val="tab"/>
      <w:lvlText w:val="￮"/>
      <w:rPr>
        <w:color w:val="3370ff"/>
      </w:rPr>
    </w:lvl>
  </w:abstractNum>
  <w:abstractNum w:abstractNumId="749122">
    <w:lvl>
      <w:start w:val="3"/>
      <w:numFmt w:val="decimal"/>
      <w:suff w:val="tab"/>
      <w:lvlText w:val="%1."/>
      <w:rPr>
        <w:color w:val="3370ff"/>
      </w:rPr>
    </w:lvl>
  </w:abstractNum>
  <w:abstractNum w:abstractNumId="749123">
    <w:lvl>
      <w:numFmt w:val="bullet"/>
      <w:suff w:val="tab"/>
      <w:lvlText w:val="￮"/>
      <w:rPr>
        <w:color w:val="3370ff"/>
      </w:rPr>
    </w:lvl>
  </w:abstractNum>
  <w:abstractNum w:abstractNumId="749124">
    <w:lvl>
      <w:numFmt w:val="bullet"/>
      <w:suff w:val="tab"/>
      <w:lvlText w:val="￮"/>
      <w:rPr>
        <w:color w:val="3370ff"/>
      </w:rPr>
    </w:lvl>
  </w:abstractNum>
  <w:abstractNum w:abstractNumId="749125">
    <w:lvl>
      <w:numFmt w:val="bullet"/>
      <w:suff w:val="tab"/>
      <w:lvlText w:val="￮"/>
      <w:rPr>
        <w:color w:val="3370ff"/>
      </w:rPr>
    </w:lvl>
  </w:abstractNum>
  <w:abstractNum w:abstractNumId="749126">
    <w:lvl>
      <w:start w:val="4"/>
      <w:numFmt w:val="decimal"/>
      <w:suff w:val="tab"/>
      <w:lvlText w:val="%1."/>
      <w:rPr>
        <w:color w:val="3370ff"/>
      </w:rPr>
    </w:lvl>
  </w:abstractNum>
  <w:abstractNum w:abstractNumId="749127">
    <w:lvl>
      <w:numFmt w:val="bullet"/>
      <w:suff w:val="tab"/>
      <w:lvlText w:val="￮"/>
      <w:rPr>
        <w:color w:val="3370ff"/>
      </w:rPr>
    </w:lvl>
  </w:abstractNum>
  <w:abstractNum w:abstractNumId="749128">
    <w:lvl>
      <w:numFmt w:val="bullet"/>
      <w:suff w:val="tab"/>
      <w:lvlText w:val="￮"/>
      <w:rPr>
        <w:color w:val="3370ff"/>
      </w:rPr>
    </w:lvl>
  </w:abstractNum>
  <w:abstractNum w:abstractNumId="749129">
    <w:lvl>
      <w:numFmt w:val="bullet"/>
      <w:suff w:val="tab"/>
      <w:lvlText w:val="￮"/>
      <w:rPr>
        <w:color w:val="3370ff"/>
      </w:rPr>
    </w:lvl>
  </w:abstractNum>
  <w:abstractNum w:abstractNumId="749130">
    <w:lvl>
      <w:start w:val="5"/>
      <w:numFmt w:val="decimal"/>
      <w:suff w:val="tab"/>
      <w:lvlText w:val="%1."/>
      <w:rPr>
        <w:color w:val="3370ff"/>
      </w:rPr>
    </w:lvl>
  </w:abstractNum>
  <w:abstractNum w:abstractNumId="749131">
    <w:lvl>
      <w:numFmt w:val="bullet"/>
      <w:suff w:val="tab"/>
      <w:lvlText w:val="￮"/>
      <w:rPr>
        <w:color w:val="3370ff"/>
      </w:rPr>
    </w:lvl>
  </w:abstractNum>
  <w:abstractNum w:abstractNumId="749132">
    <w:lvl>
      <w:numFmt w:val="bullet"/>
      <w:suff w:val="tab"/>
      <w:lvlText w:val="￮"/>
      <w:rPr>
        <w:color w:val="3370ff"/>
      </w:rPr>
    </w:lvl>
  </w:abstractNum>
  <w:abstractNum w:abstractNumId="749133">
    <w:lvl>
      <w:numFmt w:val="bullet"/>
      <w:suff w:val="tab"/>
      <w:lvlText w:val="￮"/>
      <w:rPr>
        <w:color w:val="3370ff"/>
      </w:rPr>
    </w:lvl>
  </w:abstractNum>
  <w:abstractNum w:abstractNumId="749134">
    <w:lvl>
      <w:start w:val="6"/>
      <w:numFmt w:val="decimal"/>
      <w:suff w:val="tab"/>
      <w:lvlText w:val="%1."/>
      <w:rPr>
        <w:color w:val="3370ff"/>
      </w:rPr>
    </w:lvl>
  </w:abstractNum>
  <w:abstractNum w:abstractNumId="749135">
    <w:lvl>
      <w:numFmt w:val="bullet"/>
      <w:suff w:val="tab"/>
      <w:lvlText w:val="￮"/>
      <w:rPr>
        <w:color w:val="3370ff"/>
      </w:rPr>
    </w:lvl>
  </w:abstractNum>
  <w:abstractNum w:abstractNumId="749136">
    <w:lvl>
      <w:numFmt w:val="bullet"/>
      <w:suff w:val="tab"/>
      <w:lvlText w:val="￮"/>
      <w:rPr>
        <w:color w:val="3370ff"/>
      </w:rPr>
    </w:lvl>
  </w:abstractNum>
  <w:abstractNum w:abstractNumId="749137">
    <w:lvl>
      <w:numFmt w:val="bullet"/>
      <w:suff w:val="tab"/>
      <w:lvlText w:val="￮"/>
      <w:rPr>
        <w:color w:val="3370ff"/>
      </w:rPr>
    </w:lvl>
  </w:abstractNum>
  <w:abstractNum w:abstractNumId="749138">
    <w:lvl>
      <w:start w:val="7"/>
      <w:numFmt w:val="decimal"/>
      <w:suff w:val="tab"/>
      <w:lvlText w:val="%1."/>
      <w:rPr>
        <w:color w:val="3370ff"/>
      </w:rPr>
    </w:lvl>
  </w:abstractNum>
  <w:abstractNum w:abstractNumId="749139">
    <w:lvl>
      <w:numFmt w:val="bullet"/>
      <w:suff w:val="tab"/>
      <w:lvlText w:val="￮"/>
      <w:rPr>
        <w:color w:val="3370ff"/>
      </w:rPr>
    </w:lvl>
  </w:abstractNum>
  <w:abstractNum w:abstractNumId="749140">
    <w:lvl>
      <w:numFmt w:val="bullet"/>
      <w:suff w:val="tab"/>
      <w:lvlText w:val="￮"/>
      <w:rPr>
        <w:color w:val="3370ff"/>
      </w:rPr>
    </w:lvl>
  </w:abstractNum>
  <w:abstractNum w:abstractNumId="749141">
    <w:lvl>
      <w:numFmt w:val="bullet"/>
      <w:suff w:val="tab"/>
      <w:lvlText w:val="￮"/>
      <w:rPr>
        <w:color w:val="3370ff"/>
      </w:rPr>
    </w:lvl>
  </w:abstractNum>
  <w:abstractNum w:abstractNumId="749142">
    <w:lvl>
      <w:start w:val="8"/>
      <w:numFmt w:val="decimal"/>
      <w:suff w:val="tab"/>
      <w:lvlText w:val="%1."/>
      <w:rPr>
        <w:color w:val="3370ff"/>
      </w:rPr>
    </w:lvl>
  </w:abstractNum>
  <w:abstractNum w:abstractNumId="749143">
    <w:lvl>
      <w:numFmt w:val="bullet"/>
      <w:suff w:val="tab"/>
      <w:lvlText w:val="￮"/>
      <w:rPr>
        <w:color w:val="3370ff"/>
      </w:rPr>
    </w:lvl>
  </w:abstractNum>
  <w:abstractNum w:abstractNumId="749144">
    <w:lvl>
      <w:numFmt w:val="bullet"/>
      <w:suff w:val="tab"/>
      <w:lvlText w:val="￮"/>
      <w:rPr>
        <w:color w:val="3370ff"/>
      </w:rPr>
    </w:lvl>
  </w:abstractNum>
  <w:abstractNum w:abstractNumId="749145">
    <w:lvl>
      <w:numFmt w:val="bullet"/>
      <w:suff w:val="tab"/>
      <w:lvlText w:val="￮"/>
      <w:rPr>
        <w:color w:val="3370ff"/>
      </w:rPr>
    </w:lvl>
  </w:abstractNum>
  <w:abstractNum w:abstractNumId="749146">
    <w:lvl>
      <w:start w:val="9"/>
      <w:numFmt w:val="decimal"/>
      <w:suff w:val="tab"/>
      <w:lvlText w:val="%1."/>
      <w:rPr>
        <w:color w:val="3370ff"/>
      </w:rPr>
    </w:lvl>
  </w:abstractNum>
  <w:abstractNum w:abstractNumId="749147">
    <w:lvl>
      <w:numFmt w:val="bullet"/>
      <w:suff w:val="tab"/>
      <w:lvlText w:val="￮"/>
      <w:rPr>
        <w:color w:val="3370ff"/>
      </w:rPr>
    </w:lvl>
  </w:abstractNum>
  <w:abstractNum w:abstractNumId="749148">
    <w:lvl>
      <w:numFmt w:val="bullet"/>
      <w:suff w:val="tab"/>
      <w:lvlText w:val="￮"/>
      <w:rPr>
        <w:color w:val="3370ff"/>
      </w:rPr>
    </w:lvl>
  </w:abstractNum>
  <w:abstractNum w:abstractNumId="749149">
    <w:lvl>
      <w:numFmt w:val="bullet"/>
      <w:suff w:val="tab"/>
      <w:lvlText w:val="￮"/>
      <w:rPr>
        <w:color w:val="3370ff"/>
      </w:rPr>
    </w:lvl>
  </w:abstractNum>
  <w:abstractNum w:abstractNumId="749150">
    <w:lvl>
      <w:numFmt w:val="bullet"/>
      <w:suff w:val="tab"/>
      <w:lvlText w:val="•"/>
      <w:rPr>
        <w:color w:val="3370ff"/>
      </w:rPr>
    </w:lvl>
  </w:abstractNum>
  <w:abstractNum w:abstractNumId="749151">
    <w:lvl>
      <w:numFmt w:val="bullet"/>
      <w:suff w:val="tab"/>
      <w:lvlText w:val="•"/>
      <w:rPr>
        <w:color w:val="3370ff"/>
      </w:rPr>
    </w:lvl>
  </w:abstractNum>
  <w:abstractNum w:abstractNumId="749152">
    <w:lvl>
      <w:numFmt w:val="bullet"/>
      <w:suff w:val="tab"/>
      <w:lvlText w:val="•"/>
      <w:rPr>
        <w:color w:val="3370ff"/>
      </w:rPr>
    </w:lvl>
  </w:abstractNum>
  <w:abstractNum w:abstractNumId="749153">
    <w:lvl>
      <w:numFmt w:val="bullet"/>
      <w:suff w:val="tab"/>
      <w:lvlText w:val="•"/>
      <w:rPr>
        <w:color w:val="3370ff"/>
      </w:rPr>
    </w:lvl>
  </w:abstractNum>
  <w:abstractNum w:abstractNumId="749154">
    <w:lvl>
      <w:numFmt w:val="bullet"/>
      <w:suff w:val="tab"/>
      <w:lvlText w:val="•"/>
      <w:rPr>
        <w:color w:val="3370ff"/>
      </w:rPr>
    </w:lvl>
  </w:abstractNum>
  <w:abstractNum w:abstractNumId="749155">
    <w:lvl>
      <w:numFmt w:val="bullet"/>
      <w:suff w:val="tab"/>
      <w:lvlText w:val="•"/>
      <w:rPr>
        <w:color w:val="3370ff"/>
      </w:rPr>
    </w:lvl>
  </w:abstractNum>
  <w:abstractNum w:abstractNumId="749156">
    <w:lvl>
      <w:numFmt w:val="bullet"/>
      <w:suff w:val="tab"/>
      <w:lvlText w:val="•"/>
      <w:rPr>
        <w:color w:val="3370ff"/>
      </w:rPr>
    </w:lvl>
  </w:abstractNum>
  <w:abstractNum w:abstractNumId="749157">
    <w:lvl>
      <w:numFmt w:val="bullet"/>
      <w:suff w:val="tab"/>
      <w:lvlText w:val="•"/>
      <w:rPr>
        <w:color w:val="3370ff"/>
      </w:rPr>
    </w:lvl>
  </w:abstractNum>
  <w:abstractNum w:abstractNumId="749158">
    <w:lvl>
      <w:numFmt w:val="bullet"/>
      <w:suff w:val="tab"/>
      <w:lvlText w:val="•"/>
      <w:rPr>
        <w:color w:val="3370ff"/>
      </w:rPr>
    </w:lvl>
  </w:abstractNum>
  <w:abstractNum w:abstractNumId="749159">
    <w:lvl>
      <w:numFmt w:val="bullet"/>
      <w:suff w:val="tab"/>
      <w:lvlText w:val="•"/>
      <w:rPr>
        <w:color w:val="3370ff"/>
      </w:rPr>
    </w:lvl>
  </w:abstractNum>
  <w:abstractNum w:abstractNumId="749160">
    <w:lvl>
      <w:numFmt w:val="bullet"/>
      <w:suff w:val="tab"/>
      <w:lvlText w:val="•"/>
      <w:rPr>
        <w:color w:val="3370ff"/>
      </w:rPr>
    </w:lvl>
  </w:abstractNum>
  <w:abstractNum w:abstractNumId="749161">
    <w:lvl>
      <w:numFmt w:val="bullet"/>
      <w:suff w:val="tab"/>
      <w:lvlText w:val="•"/>
      <w:rPr>
        <w:color w:val="3370ff"/>
      </w:rPr>
    </w:lvl>
  </w:abstractNum>
  <w:num w:numId="1">
    <w:abstractNumId w:val="749054"/>
  </w:num>
  <w:num w:numId="2">
    <w:abstractNumId w:val="749055"/>
  </w:num>
  <w:num w:numId="3">
    <w:abstractNumId w:val="749056"/>
  </w:num>
  <w:num w:numId="4">
    <w:abstractNumId w:val="749057"/>
  </w:num>
  <w:num w:numId="5">
    <w:abstractNumId w:val="749058"/>
  </w:num>
  <w:num w:numId="6">
    <w:abstractNumId w:val="749059"/>
  </w:num>
  <w:num w:numId="7">
    <w:abstractNumId w:val="749060"/>
  </w:num>
  <w:num w:numId="8">
    <w:abstractNumId w:val="749061"/>
  </w:num>
  <w:num w:numId="9">
    <w:abstractNumId w:val="749062"/>
  </w:num>
  <w:num w:numId="10">
    <w:abstractNumId w:val="749063"/>
  </w:num>
  <w:num w:numId="11">
    <w:abstractNumId w:val="749064"/>
  </w:num>
  <w:num w:numId="12">
    <w:abstractNumId w:val="749065"/>
  </w:num>
  <w:num w:numId="13">
    <w:abstractNumId w:val="749066"/>
  </w:num>
  <w:num w:numId="14">
    <w:abstractNumId w:val="749067"/>
  </w:num>
  <w:num w:numId="15">
    <w:abstractNumId w:val="749068"/>
  </w:num>
  <w:num w:numId="16">
    <w:abstractNumId w:val="749069"/>
  </w:num>
  <w:num w:numId="17">
    <w:abstractNumId w:val="749070"/>
  </w:num>
  <w:num w:numId="18">
    <w:abstractNumId w:val="749071"/>
  </w:num>
  <w:num w:numId="19">
    <w:abstractNumId w:val="749072"/>
  </w:num>
  <w:num w:numId="20">
    <w:abstractNumId w:val="749073"/>
  </w:num>
  <w:num w:numId="21">
    <w:abstractNumId w:val="749074"/>
  </w:num>
  <w:num w:numId="22">
    <w:abstractNumId w:val="749075"/>
  </w:num>
  <w:num w:numId="23">
    <w:abstractNumId w:val="749076"/>
  </w:num>
  <w:num w:numId="24">
    <w:abstractNumId w:val="749077"/>
  </w:num>
  <w:num w:numId="25">
    <w:abstractNumId w:val="749078"/>
  </w:num>
  <w:num w:numId="26">
    <w:abstractNumId w:val="749079"/>
  </w:num>
  <w:num w:numId="27">
    <w:abstractNumId w:val="749080"/>
  </w:num>
  <w:num w:numId="28">
    <w:abstractNumId w:val="749081"/>
  </w:num>
  <w:num w:numId="29">
    <w:abstractNumId w:val="749082"/>
  </w:num>
  <w:num w:numId="30">
    <w:abstractNumId w:val="749083"/>
  </w:num>
  <w:num w:numId="31">
    <w:abstractNumId w:val="749084"/>
  </w:num>
  <w:num w:numId="32">
    <w:abstractNumId w:val="749085"/>
  </w:num>
  <w:num w:numId="33">
    <w:abstractNumId w:val="749086"/>
  </w:num>
  <w:num w:numId="34">
    <w:abstractNumId w:val="749087"/>
  </w:num>
  <w:num w:numId="35">
    <w:abstractNumId w:val="749088"/>
  </w:num>
  <w:num w:numId="36">
    <w:abstractNumId w:val="749089"/>
  </w:num>
  <w:num w:numId="37">
    <w:abstractNumId w:val="749090"/>
  </w:num>
  <w:num w:numId="38">
    <w:abstractNumId w:val="749091"/>
  </w:num>
  <w:num w:numId="39">
    <w:abstractNumId w:val="749092"/>
  </w:num>
  <w:num w:numId="40">
    <w:abstractNumId w:val="749093"/>
  </w:num>
  <w:num w:numId="41">
    <w:abstractNumId w:val="749094"/>
  </w:num>
  <w:num w:numId="42">
    <w:abstractNumId w:val="749095"/>
  </w:num>
  <w:num w:numId="43">
    <w:abstractNumId w:val="749096"/>
  </w:num>
  <w:num w:numId="44">
    <w:abstractNumId w:val="749097"/>
  </w:num>
  <w:num w:numId="45">
    <w:abstractNumId w:val="749098"/>
  </w:num>
  <w:num w:numId="46">
    <w:abstractNumId w:val="749099"/>
  </w:num>
  <w:num w:numId="47">
    <w:abstractNumId w:val="749100"/>
  </w:num>
  <w:num w:numId="48">
    <w:abstractNumId w:val="749101"/>
  </w:num>
  <w:num w:numId="49">
    <w:abstractNumId w:val="749102"/>
  </w:num>
  <w:num w:numId="50">
    <w:abstractNumId w:val="749103"/>
  </w:num>
  <w:num w:numId="51">
    <w:abstractNumId w:val="749104"/>
  </w:num>
  <w:num w:numId="52">
    <w:abstractNumId w:val="749105"/>
  </w:num>
  <w:num w:numId="53">
    <w:abstractNumId w:val="749106"/>
  </w:num>
  <w:num w:numId="54">
    <w:abstractNumId w:val="749107"/>
  </w:num>
  <w:num w:numId="55">
    <w:abstractNumId w:val="749108"/>
  </w:num>
  <w:num w:numId="56">
    <w:abstractNumId w:val="749109"/>
  </w:num>
  <w:num w:numId="57">
    <w:abstractNumId w:val="749110"/>
  </w:num>
  <w:num w:numId="58">
    <w:abstractNumId w:val="749111"/>
  </w:num>
  <w:num w:numId="59">
    <w:abstractNumId w:val="749112"/>
  </w:num>
  <w:num w:numId="60">
    <w:abstractNumId w:val="749113"/>
  </w:num>
  <w:num w:numId="61">
    <w:abstractNumId w:val="749114"/>
  </w:num>
  <w:num w:numId="62">
    <w:abstractNumId w:val="749115"/>
  </w:num>
  <w:num w:numId="63">
    <w:abstractNumId w:val="749116"/>
  </w:num>
  <w:num w:numId="64">
    <w:abstractNumId w:val="749117"/>
  </w:num>
  <w:num w:numId="65">
    <w:abstractNumId w:val="749118"/>
  </w:num>
  <w:num w:numId="66">
    <w:abstractNumId w:val="749119"/>
  </w:num>
  <w:num w:numId="67">
    <w:abstractNumId w:val="749120"/>
  </w:num>
  <w:num w:numId="68">
    <w:abstractNumId w:val="749121"/>
  </w:num>
  <w:num w:numId="69">
    <w:abstractNumId w:val="749122"/>
  </w:num>
  <w:num w:numId="70">
    <w:abstractNumId w:val="749123"/>
  </w:num>
  <w:num w:numId="71">
    <w:abstractNumId w:val="749124"/>
  </w:num>
  <w:num w:numId="72">
    <w:abstractNumId w:val="749125"/>
  </w:num>
  <w:num w:numId="73">
    <w:abstractNumId w:val="749126"/>
  </w:num>
  <w:num w:numId="74">
    <w:abstractNumId w:val="749127"/>
  </w:num>
  <w:num w:numId="75">
    <w:abstractNumId w:val="749128"/>
  </w:num>
  <w:num w:numId="76">
    <w:abstractNumId w:val="749129"/>
  </w:num>
  <w:num w:numId="77">
    <w:abstractNumId w:val="749130"/>
  </w:num>
  <w:num w:numId="78">
    <w:abstractNumId w:val="749131"/>
  </w:num>
  <w:num w:numId="79">
    <w:abstractNumId w:val="749132"/>
  </w:num>
  <w:num w:numId="80">
    <w:abstractNumId w:val="749133"/>
  </w:num>
  <w:num w:numId="81">
    <w:abstractNumId w:val="749134"/>
  </w:num>
  <w:num w:numId="82">
    <w:abstractNumId w:val="749135"/>
  </w:num>
  <w:num w:numId="83">
    <w:abstractNumId w:val="749136"/>
  </w:num>
  <w:num w:numId="84">
    <w:abstractNumId w:val="749137"/>
  </w:num>
  <w:num w:numId="85">
    <w:abstractNumId w:val="749138"/>
  </w:num>
  <w:num w:numId="86">
    <w:abstractNumId w:val="749139"/>
  </w:num>
  <w:num w:numId="87">
    <w:abstractNumId w:val="749140"/>
  </w:num>
  <w:num w:numId="88">
    <w:abstractNumId w:val="749141"/>
  </w:num>
  <w:num w:numId="89">
    <w:abstractNumId w:val="749142"/>
  </w:num>
  <w:num w:numId="90">
    <w:abstractNumId w:val="749143"/>
  </w:num>
  <w:num w:numId="91">
    <w:abstractNumId w:val="749144"/>
  </w:num>
  <w:num w:numId="92">
    <w:abstractNumId w:val="749145"/>
  </w:num>
  <w:num w:numId="93">
    <w:abstractNumId w:val="749146"/>
  </w:num>
  <w:num w:numId="94">
    <w:abstractNumId w:val="749147"/>
  </w:num>
  <w:num w:numId="95">
    <w:abstractNumId w:val="749148"/>
  </w:num>
  <w:num w:numId="96">
    <w:abstractNumId w:val="749149"/>
  </w:num>
  <w:num w:numId="97">
    <w:abstractNumId w:val="749150"/>
  </w:num>
  <w:num w:numId="98">
    <w:abstractNumId w:val="749151"/>
  </w:num>
  <w:num w:numId="99">
    <w:abstractNumId w:val="749152"/>
  </w:num>
  <w:num w:numId="100">
    <w:abstractNumId w:val="749153"/>
  </w:num>
  <w:num w:numId="101">
    <w:abstractNumId w:val="749154"/>
  </w:num>
  <w:num w:numId="102">
    <w:abstractNumId w:val="749155"/>
  </w:num>
  <w:num w:numId="103">
    <w:abstractNumId w:val="749156"/>
  </w:num>
  <w:num w:numId="104">
    <w:abstractNumId w:val="749157"/>
  </w:num>
  <w:num w:numId="105">
    <w:abstractNumId w:val="749158"/>
  </w:num>
  <w:num w:numId="106">
    <w:abstractNumId w:val="749159"/>
  </w:num>
  <w:num w:numId="107">
    <w:abstractNumId w:val="749160"/>
  </w:num>
  <w:num w:numId="108">
    <w:abstractNumId w:val="74916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2025-12-31T10:17:36Z</dcterms:created>
  <dc:creator>Apache POI</dc:creator>
</cp:coreProperties>
</file>