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ST段（探索阶段）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逐项深度展开：技术属性 → 生理/临床含义 → 可做的事情清单（分级、适用场景、限制）→ 指标与算法要求 → 验证/临床设计 → 风险/合规与落地建议。结尾给出可直接执行的三步短期行动计划。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核心结论（概览）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Apple Watch 类单/双导联心电</w:t>
      </w:r>
      <w:r>
        <w:rPr>
          <w:rFonts w:eastAsia="等线" w:ascii="Arial" w:cs="Arial" w:hAnsi="Arial"/>
          <w:sz w:val="22"/>
        </w:rPr>
        <w:t xml:space="preserve"> 能在很多情形下提供有临床参考价值的 </w:t>
      </w:r>
      <w:r>
        <w:rPr>
          <w:rFonts w:eastAsia="等线" w:ascii="Arial" w:cs="Arial" w:hAnsi="Arial"/>
          <w:b w:val="true"/>
          <w:sz w:val="22"/>
        </w:rPr>
        <w:t>ST 段“信号/趋势”</w:t>
      </w:r>
      <w:r>
        <w:rPr>
          <w:rFonts w:eastAsia="等线" w:ascii="Arial" w:cs="Arial" w:hAnsi="Arial"/>
          <w:sz w:val="22"/>
        </w:rPr>
        <w:t>，但</w:t>
      </w:r>
      <w:r>
        <w:rPr>
          <w:rFonts w:eastAsia="等线" w:ascii="Arial" w:cs="Arial" w:hAnsi="Arial"/>
          <w:b w:val="true"/>
          <w:sz w:val="22"/>
        </w:rPr>
        <w:t>不能单凭其做胸痛/MI 的最终诊断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最现实、可接受的用途是：</w:t>
      </w:r>
      <w:r>
        <w:rPr>
          <w:rFonts w:eastAsia="等线" w:ascii="Arial" w:cs="Arial" w:hAnsi="Arial"/>
          <w:b w:val="true"/>
          <w:sz w:val="22"/>
        </w:rPr>
        <w:t>趋势监测、提示/筛查、远程复核入门资料与研究工具</w:t>
      </w:r>
      <w:r>
        <w:rPr>
          <w:rFonts w:eastAsia="等线" w:ascii="Arial" w:cs="Arial" w:hAnsi="Arial"/>
          <w:sz w:val="22"/>
        </w:rPr>
        <w:t>；用于临床决策必须与症状、体检、血标（hs-Tn）、12 导联 ECG 等联合判定。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要把 ST 用到产品/临床流程里，技术上必须严格做 </w:t>
      </w:r>
      <w:r>
        <w:rPr>
          <w:rFonts w:eastAsia="等线" w:ascii="Arial" w:cs="Arial" w:hAnsi="Arial"/>
          <w:b w:val="true"/>
          <w:sz w:val="22"/>
        </w:rPr>
        <w:t>质量控制(QC)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个体化基线校正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多次/多位置采集策略</w:t>
      </w:r>
      <w:r>
        <w:rPr>
          <w:rFonts w:eastAsia="等线" w:ascii="Arial" w:cs="Arial" w:hAnsi="Arial"/>
          <w:sz w:val="22"/>
        </w:rPr>
        <w:t>、并以保守阈值与“多次确认”原则发布提示。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一：设备与信号本质（为什么有局限）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导联类型</w:t>
      </w:r>
      <w:r>
        <w:rPr>
          <w:rFonts w:eastAsia="等线" w:ascii="Arial" w:cs="Arial" w:hAnsi="Arial"/>
          <w:sz w:val="22"/>
        </w:rPr>
        <w:t>：Apple Watch 原生为单导联（一般等同于单肢导联类似于 Lead I），通过改变接触方式可模拟其它导联位（异步多次录制）。单/二导联无法覆盖 12 导联空间分布（尤其胸导联对前壁/下壁缺血敏感）。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采样与硬件</w:t>
      </w:r>
      <w:r>
        <w:rPr>
          <w:rFonts w:eastAsia="等线" w:ascii="Arial" w:cs="Arial" w:hAnsi="Arial"/>
          <w:sz w:val="22"/>
        </w:rPr>
        <w:t>：采样率通常能达到 ~200–500 Hz（不同代），可满足 ST 段幅值测量；但硬件滤波、ADC 线性、接触电阻都影响精度。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噪声来源</w:t>
      </w:r>
      <w:r>
        <w:rPr>
          <w:rFonts w:eastAsia="等线" w:ascii="Arial" w:cs="Arial" w:hAnsi="Arial"/>
          <w:sz w:val="22"/>
        </w:rPr>
        <w:t>：体动、接触不稳、肌电干扰、工频噪声、皮肤电阻变化、佩戴位置不同导致基线漂移。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时间与同步</w:t>
      </w:r>
      <w:r>
        <w:rPr>
          <w:rFonts w:eastAsia="等线" w:ascii="Arial" w:cs="Arial" w:hAnsi="Arial"/>
          <w:sz w:val="22"/>
        </w:rPr>
        <w:t>：单次记录短（通常 30 s），异步多次录制不能保证与症状发生瞬间同步，影响“短时瞬发性” ST 改变的捕获率。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因此：</w:t>
      </w:r>
      <w:r>
        <w:rPr>
          <w:rFonts w:eastAsia="等线" w:ascii="Arial" w:cs="Arial" w:hAnsi="Arial"/>
          <w:b w:val="true"/>
          <w:sz w:val="22"/>
        </w:rPr>
        <w:t>信号有用，但有偏差与盲点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二：ST 段的生理/临床含义（为什么重要、要小心解读）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 段反映心肌复极阶段的电位</w:t>
      </w:r>
      <w:r>
        <w:rPr>
          <w:rFonts w:eastAsia="等线" w:ascii="Arial" w:cs="Arial" w:hAnsi="Arial"/>
          <w:sz w:val="22"/>
        </w:rPr>
        <w:t>。ST 抬高常提示急性性全层（transmural）缺血或其他原因（早期复极、LVH、LBBB、急性心肌炎、Brugada、心包炎等）。ST 压低常提示心肌缺血（subendocardial）、数字电解质紊乱等。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干扰因素多</w:t>
      </w:r>
      <w:r>
        <w:rPr>
          <w:rFonts w:eastAsia="等线" w:ascii="Arial" w:cs="Arial" w:hAnsi="Arial"/>
          <w:sz w:val="22"/>
        </w:rPr>
        <w:t>：既往基线（慢性 ST 改变）、传导阻滞（LBBB）、室性肥厚、药物（如抗精神病药引起由ST改变相关的QT/复极改变）、体位/呼吸影响都能造成 ST 假性变化。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时间学</w:t>
      </w:r>
      <w:r>
        <w:rPr>
          <w:rFonts w:eastAsia="等线" w:ascii="Arial" w:cs="Arial" w:hAnsi="Arial"/>
          <w:sz w:val="22"/>
        </w:rPr>
        <w:t>：急性 STEMI 的 ST 抬高可在短时间内出现与消失（需及时性捕获）；长期趋势监测更能体现慢性或动态变化。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三：可以做的事情（按价值与风险分级；从最可靠到最不可靠）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下面每项后面标注「价值」与「风险/限制」以供产品决策权衡。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A. 高价值且相对低风险（推荐优先实现）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 段趋势可视化（长期、个体化）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把每次合格记录的 ST 幅值以时间序列展示（7/30/90 天）。价值：高（对长期随访/慢性变化很有用）。风险：低（仅展示，无诊断）。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短期多次录制确认提示（重复确认降低误报）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若连续 2–3 次合格录制出现同方向偏移后才上报“关注”。价值：高（显著降低假阳性）。风险：低。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QC 加权置信度评分与结果解释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每次测量给出 SNR、运动指数、QRS 检出率与置信度标签。价值：高（可解释）。风险：低。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症状驱动的即时提示工作流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当用户有胸痛/呼吸困难时，触发专门采集流程并在结果异常时给出“立即就医”交互（并非诊断）。价值：高（保护用户）。风险：中（需谨慎措辞）。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B. 中价值（可做，但需严格流程与用户教育）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筛查性提示（非诊断）——“建议就医/复测/医生复核”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用于高危人群或症状出现时作为筛查提醒。价值：中。风险：中（监管/法律需留白）。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与医生远程复核的波形包/导出（用于门诊快速评估）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给医生提供原始波形+趋势图作为辅助判断材料。价值：中高（能直接对接临床）。风险：低（受医生解读限）。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药物/治疗响应监测（例如冠心病干预后趋势观察）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用于长期监控是否存在持久性 ST 基线改变或复发趋势。价值：中。风险：中（需结合其它指标）。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C. 研究/探索性（可做但不宜面向普通用户宣称）</w:t>
      </w:r>
      <w:bookmarkEnd w:id="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异步多导联合成（虚拟多导联重建）用于提高检测灵敏度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通过改变接触点并用算法重建近似多导联图像。价值：潜在高。风险：高（算法偏差、需要大量验证）。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短期缺血事件检测（立刻识别 STEMI）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理论可行但敏感性低，易漏诊。价值：高（如果真的可靠），现实风险高。</w:t>
      </w:r>
      <w:r>
        <w:rPr>
          <w:rFonts w:eastAsia="等线" w:ascii="Arial" w:cs="Arial" w:hAnsi="Arial"/>
          <w:b w:val="true"/>
          <w:sz w:val="22"/>
        </w:rPr>
        <w:t>不建议作为独立急救判断工具上线。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作为临床研究数据来源（配对 12 导联）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可用于证明可穿戴设备在特定场景下的检测能力。价值：高（科研与监管路径）。风险：科研成本高。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四：具体可用指标（要测、要显示、要保存的量）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这些指标在产品/临床中最有利用价值，建议全量记录并展示给医生复核界面：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原始/派生时间序列</w:t>
      </w:r>
      <w:r>
        <w:rPr>
          <w:rFonts w:eastAsia="等线" w:ascii="Arial" w:cs="Arial" w:hAnsi="Arial"/>
          <w:sz w:val="22"/>
        </w:rPr>
        <w:t>：每次录制的整段波形（30s 常见）。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J-point 幅值（mm 或 µV）</w:t>
      </w:r>
      <w:r>
        <w:rPr>
          <w:rFonts w:eastAsia="等线" w:ascii="Arial" w:cs="Arial" w:hAnsi="Arial"/>
          <w:sz w:val="22"/>
        </w:rPr>
        <w:t>：J 点后固定延迟（+60–80 ms）处的电位，常用来量化 ST。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ΔST（相对基线差值）</w:t>
      </w:r>
      <w:r>
        <w:rPr>
          <w:rFonts w:eastAsia="等线" w:ascii="Arial" w:cs="Arial" w:hAnsi="Arial"/>
          <w:sz w:val="22"/>
        </w:rPr>
        <w:t>：当前 ST 与用户个体基线（历史均值）的差值（mm）。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 趋势斜率（mm/day 或 mm/次记录）</w:t>
      </w:r>
      <w:r>
        <w:rPr>
          <w:rFonts w:eastAsia="等线" w:ascii="Arial" w:cs="Arial" w:hAnsi="Arial"/>
          <w:sz w:val="22"/>
        </w:rPr>
        <w:t>：量化上升/下降速率。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持续性/频率指标</w:t>
      </w:r>
      <w:r>
        <w:rPr>
          <w:rFonts w:eastAsia="等线" w:ascii="Arial" w:cs="Arial" w:hAnsi="Arial"/>
          <w:sz w:val="22"/>
        </w:rPr>
        <w:t>：如“在过去 7 天内连续出现 X 次偏离”。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置信度分数</w:t>
      </w:r>
      <w:r>
        <w:rPr>
          <w:rFonts w:eastAsia="等线" w:ascii="Arial" w:cs="Arial" w:hAnsi="Arial"/>
          <w:sz w:val="22"/>
        </w:rPr>
        <w:t>：基于 QC（SNR、运动、QRS 检出率、波形完整性）计算概率性分数。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伴随信息</w:t>
      </w:r>
      <w:r>
        <w:rPr>
          <w:rFonts w:eastAsia="等线" w:ascii="Arial" w:cs="Arial" w:hAnsi="Arial"/>
          <w:sz w:val="22"/>
        </w:rPr>
        <w:t>：心率、QRS 宽度、是否存在明显异常传导（QRS&gt;120ms 指示 LBBB/IVCD）、是否存在明显早期复极模式。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元数据</w:t>
      </w:r>
      <w:r>
        <w:rPr>
          <w:rFonts w:eastAsia="等线" w:ascii="Arial" w:cs="Arial" w:hAnsi="Arial"/>
          <w:sz w:val="22"/>
        </w:rPr>
        <w:t>：采集时间、设备型号、采样率、体位、是否为症状触发、加速度计数据、用户备注（胸痛/出汗等）。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五：心电专家共识要点（临床角度的操作化建议）</w:t>
      </w:r>
      <w:bookmarkEnd w:id="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不做“诊断”表述</w:t>
      </w:r>
      <w:r>
        <w:rPr>
          <w:rFonts w:eastAsia="等线" w:ascii="Arial" w:cs="Arial" w:hAnsi="Arial"/>
          <w:sz w:val="22"/>
        </w:rPr>
        <w:t>：任何面向公众的输出都要明确这是“提示/趋势监测”，不是诊断。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合格记录原则</w:t>
      </w:r>
      <w:r>
        <w:rPr>
          <w:rFonts w:eastAsia="等线" w:ascii="Arial" w:cs="Arial" w:hAnsi="Arial"/>
          <w:sz w:val="22"/>
        </w:rPr>
        <w:t>：只把 QC 合格的记录计入趋势与告警决策。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基线个体化</w:t>
      </w:r>
      <w:r>
        <w:rPr>
          <w:rFonts w:eastAsia="等线" w:ascii="Arial" w:cs="Arial" w:hAnsi="Arial"/>
          <w:sz w:val="22"/>
        </w:rPr>
        <w:t>：优先使用用户既往记录建立基线（若无则使用同年龄/性别参考区间），并在界面标注“基线已建立/未建立”。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多次确认原则</w:t>
      </w:r>
      <w:r>
        <w:rPr>
          <w:rFonts w:eastAsia="等线" w:ascii="Arial" w:cs="Arial" w:hAnsi="Arial"/>
          <w:sz w:val="22"/>
        </w:rPr>
        <w:t>：上线告警前需至少 2 次时间内相近的异常（或 1 次高幅度异常）并伴随高置信度。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合并临床表现</w:t>
      </w:r>
      <w:r>
        <w:rPr>
          <w:rFonts w:eastAsia="等线" w:ascii="Arial" w:cs="Arial" w:hAnsi="Arial"/>
          <w:sz w:val="22"/>
        </w:rPr>
        <w:t>：若用户自述胸痛/出汗/晕厥，则系统推送更强烈的动作建议（立即就医）并降低触发门槛（风险报导更保守）。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医生复核通路</w:t>
      </w:r>
      <w:r>
        <w:rPr>
          <w:rFonts w:eastAsia="等线" w:ascii="Arial" w:cs="Arial" w:hAnsi="Arial"/>
          <w:sz w:val="22"/>
        </w:rPr>
        <w:t>：建立标准化医生复核包（波形 + QC 报告 + 用户描述 + 时间线）。医生复核应作为后续决策依据。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六：算法与信号处理要求（工程细节，务必实现）</w:t>
      </w:r>
      <w:bookmarkEnd w:id="9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滤波与去基线</w:t>
      </w:r>
      <w:r>
        <w:rPr>
          <w:rFonts w:eastAsia="等线" w:ascii="Arial" w:cs="Arial" w:hAnsi="Arial"/>
          <w:sz w:val="22"/>
        </w:rPr>
        <w:t>：去直流（高通 ~0.5 Hz 或小波）、低通滤除肌电与高频噪声、工频陷波（50/60 Hz）。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QRS 与 J-point 定位</w:t>
      </w:r>
      <w:r>
        <w:rPr>
          <w:rFonts w:eastAsia="等线" w:ascii="Arial" w:cs="Arial" w:hAnsi="Arial"/>
          <w:sz w:val="22"/>
        </w:rPr>
        <w:t>：稳健的 QRS 检测（Pan-Tompkins 或轻量 CNN），J-point 找到后在 +60–80 ms 取均值或小窗口平均（防止微震动影响）。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噪声/运动检测</w:t>
      </w:r>
      <w:r>
        <w:rPr>
          <w:rFonts w:eastAsia="等线" w:ascii="Arial" w:cs="Arial" w:hAnsi="Arial"/>
          <w:sz w:val="22"/>
        </w:rPr>
        <w:t>：结合加速度计与 SNR 判断；若运动占比高则标注不合格。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心率校正</w:t>
      </w:r>
      <w:r>
        <w:rPr>
          <w:rFonts w:eastAsia="等线" w:ascii="Arial" w:cs="Arial" w:hAnsi="Arial"/>
          <w:sz w:val="22"/>
        </w:rPr>
        <w:t>：ST/心率相关性需校正或至少提供心率信息（快速心率可影响 ST 值解释）。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个体化基线算法</w:t>
      </w:r>
      <w:r>
        <w:rPr>
          <w:rFonts w:eastAsia="等线" w:ascii="Arial" w:cs="Arial" w:hAnsi="Arial"/>
          <w:sz w:val="22"/>
        </w:rPr>
        <w:t>：以指数加权均值或周期性基线模型调整（识别慢性 ST 改变）。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多次/多位置合成</w:t>
      </w:r>
      <w:r>
        <w:rPr>
          <w:rFonts w:eastAsia="等线" w:ascii="Arial" w:cs="Arial" w:hAnsi="Arial"/>
          <w:sz w:val="22"/>
        </w:rPr>
        <w:t>：时间对齐、模板匹配、心拍级堆叠以提高 SNR；重构的“虚拟导联”须给出置信度。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可解释输出</w:t>
      </w:r>
      <w:r>
        <w:rPr>
          <w:rFonts w:eastAsia="等线" w:ascii="Arial" w:cs="Arial" w:hAnsi="Arial"/>
          <w:sz w:val="22"/>
        </w:rPr>
        <w:t>：高亮异常心拍（截屏）、导出 PDF（含 disclaimer、元数据、医生注释区）。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七：验证与临床试验设计（如何证明产品可靠）</w:t>
      </w:r>
      <w:bookmarkEnd w:id="1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 0（内部验证）</w:t>
      </w:r>
      <w:r>
        <w:rPr>
          <w:rFonts w:eastAsia="等线" w:ascii="Arial" w:cs="Arial" w:hAnsi="Arial"/>
          <w:sz w:val="22"/>
        </w:rPr>
        <w:t>：实验室对比（模拟信号 +志愿者），验证 J-point 定位误差、ST 幅值误差、在不同 SNR 下的稳定性。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 1（配对观察研究）</w:t>
      </w:r>
      <w:r>
        <w:rPr>
          <w:rFonts w:eastAsia="等线" w:ascii="Arial" w:cs="Arial" w:hAnsi="Arial"/>
          <w:sz w:val="22"/>
        </w:rPr>
        <w:t>：在门诊/急诊采集</w:t>
      </w:r>
      <w:r>
        <w:rPr>
          <w:rFonts w:eastAsia="等线" w:ascii="Arial" w:cs="Arial" w:hAnsi="Arial"/>
          <w:b w:val="true"/>
          <w:sz w:val="22"/>
        </w:rPr>
        <w:t>几百例</w:t>
      </w:r>
      <w:r>
        <w:rPr>
          <w:rFonts w:eastAsia="等线" w:ascii="Arial" w:cs="Arial" w:hAnsi="Arial"/>
          <w:sz w:val="22"/>
        </w:rPr>
        <w:t>配对：Apple Watch 异步多次录制 vs 同时 12-lead ECG。主要终点：ΔST 的一致性（Bland-Altman）、异常检测的敏感性/特异性（以 12-lead 为金标准）。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 2（前瞻性临床验证/现实世界）</w:t>
      </w:r>
      <w:r>
        <w:rPr>
          <w:rFonts w:eastAsia="等线" w:ascii="Arial" w:cs="Arial" w:hAnsi="Arial"/>
          <w:sz w:val="22"/>
        </w:rPr>
        <w:t>：在胸痛门诊/急诊集群进行前瞻收集并跟踪最终诊断（含 hs-Tn、造影）。统计样本量需基于预期敏感性与置信区间进行计算（若目标敏感性 60% 且允许宽度 ±8%，需要数百阳性病例）。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分析子组</w:t>
      </w:r>
      <w:r>
        <w:rPr>
          <w:rFonts w:eastAsia="等线" w:ascii="Arial" w:cs="Arial" w:hAnsi="Arial"/>
          <w:sz w:val="22"/>
        </w:rPr>
        <w:t>：不同设备代数、不同体位、LBBB/LVH/既往心肌梗死、不同性别/年龄。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八：风险、误用场景与缓解措施（关键）</w:t>
      </w:r>
      <w:bookmarkEnd w:id="1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误报假阳性</w:t>
      </w:r>
      <w:r>
        <w:rPr>
          <w:rFonts w:eastAsia="等线" w:ascii="Arial" w:cs="Arial" w:hAnsi="Arial"/>
          <w:sz w:val="22"/>
        </w:rPr>
        <w:t xml:space="preserve"> → 用户恐慌/医疗资源滥用。</w:t>
        <w:br/>
      </w:r>
      <w:r>
        <w:rPr>
          <w:rFonts w:eastAsia="等线" w:ascii="Arial" w:cs="Arial" w:hAnsi="Arial"/>
          <w:sz w:val="22"/>
        </w:rPr>
        <w:t xml:space="preserve"> 缓解：多次确认、置信度阈值、明确文案、医生复核通路。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漏诊（敏感性不足）</w:t>
      </w:r>
      <w:r>
        <w:rPr>
          <w:rFonts w:eastAsia="等线" w:ascii="Arial" w:cs="Arial" w:hAnsi="Arial"/>
          <w:sz w:val="22"/>
        </w:rPr>
        <w:t xml:space="preserve"> → 延误救治（严重）。</w:t>
        <w:br/>
      </w:r>
      <w:r>
        <w:rPr>
          <w:rFonts w:eastAsia="等线" w:ascii="Arial" w:cs="Arial" w:hAnsi="Arial"/>
          <w:sz w:val="22"/>
        </w:rPr>
        <w:t xml:space="preserve"> 缓解：不宣称诊断；症状出现时强制提示就医；鼓励到院 12-lead 测试。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法律责任/监管风险</w:t>
      </w:r>
      <w:r>
        <w:rPr>
          <w:rFonts w:eastAsia="等线" w:ascii="Arial" w:cs="Arial" w:hAnsi="Arial"/>
          <w:sz w:val="22"/>
        </w:rPr>
        <w:t xml:space="preserve"> → 若把功能表述为诊断工具，监管介入与法律风险极高。</w:t>
        <w:br/>
      </w:r>
      <w:r>
        <w:rPr>
          <w:rFonts w:eastAsia="等线" w:ascii="Arial" w:cs="Arial" w:hAnsi="Arial"/>
          <w:sz w:val="22"/>
        </w:rPr>
        <w:t xml:space="preserve"> 缓解：法务审查、免责声明、以“健康提示/趋势”定位，若计划走诊断路径则按 SaMD 走监管。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数据质量/偏倚</w:t>
      </w:r>
      <w:r>
        <w:rPr>
          <w:rFonts w:eastAsia="等线" w:ascii="Arial" w:cs="Arial" w:hAnsi="Arial"/>
          <w:sz w:val="22"/>
        </w:rPr>
        <w:t xml:space="preserve"> → 算法对某些人群失效（肤色、体毛、佩戴习惯）。</w:t>
        <w:br/>
      </w:r>
      <w:r>
        <w:rPr>
          <w:rFonts w:eastAsia="等线" w:ascii="Arial" w:cs="Arial" w:hAnsi="Arial"/>
          <w:sz w:val="22"/>
        </w:rPr>
        <w:t xml:space="preserve"> 缓解：多样化训练/验证样本，并在UI标注适用人群与限制。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九：面向 C 端的实际临床/产品建议（落地可行性）</w:t>
      </w:r>
      <w:bookmarkEnd w:id="12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功能定位</w:t>
      </w:r>
      <w:r>
        <w:rPr>
          <w:rFonts w:eastAsia="等线" w:ascii="Arial" w:cs="Arial" w:hAnsi="Arial"/>
          <w:sz w:val="22"/>
        </w:rPr>
        <w:t>：只做“ST 段趋势 + 智能提示 + 医生复核入口” — 明确非诊断。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QC 与多次确认</w:t>
      </w:r>
      <w:r>
        <w:rPr>
          <w:rFonts w:eastAsia="等线" w:ascii="Arial" w:cs="Arial" w:hAnsi="Arial"/>
          <w:sz w:val="22"/>
        </w:rPr>
        <w:t>：默认要求 2 次合格异常或 1 次高幅度异常（并伴随症状）才上报黄色/红色提示。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教育与文案</w:t>
      </w:r>
      <w:r>
        <w:rPr>
          <w:rFonts w:eastAsia="等线" w:ascii="Arial" w:cs="Arial" w:hAnsi="Arial"/>
          <w:sz w:val="22"/>
        </w:rPr>
        <w:t>：在 UI 多处强调：若感觉胸痛/出汗/呼吸困难，请立即就医。导出报告中强制包含免责声明。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医生复核产品化</w:t>
      </w:r>
      <w:r>
        <w:rPr>
          <w:rFonts w:eastAsia="等线" w:ascii="Arial" w:cs="Arial" w:hAnsi="Arial"/>
          <w:sz w:val="22"/>
        </w:rPr>
        <w:t>：把“波形包 + 报告”做成医生一键评估界面（付费/医院合作），医生可在 15 分钟内给出建议。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数据回填与学习闭环</w:t>
      </w:r>
      <w:r>
        <w:rPr>
          <w:rFonts w:eastAsia="等线" w:ascii="Arial" w:cs="Arial" w:hAnsi="Arial"/>
          <w:sz w:val="22"/>
        </w:rPr>
        <w:t>：用户就医结果若能回填（用户上传医院 12-lead 或医生反馈），将极大提升算法训练与校准能力。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十：可量化的性能目标（MVP 建议）</w:t>
      </w:r>
      <w:bookmarkEnd w:id="13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录制合格率（QC 合格）</w:t>
      </w:r>
      <w:r>
        <w:rPr>
          <w:rFonts w:eastAsia="等线" w:ascii="Arial" w:cs="Arial" w:hAnsi="Arial"/>
          <w:sz w:val="22"/>
        </w:rPr>
        <w:t xml:space="preserve"> ≥ 85%（首要工程目标）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趋势告警的假阳率（用户反馈“我没事”）</w:t>
      </w:r>
      <w:r>
        <w:rPr>
          <w:rFonts w:eastAsia="等线" w:ascii="Arial" w:cs="Arial" w:hAnsi="Arial"/>
          <w:sz w:val="22"/>
        </w:rPr>
        <w:t xml:space="preserve"> &lt; 15%（通过多次确认控制）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12-lead 的方向一致率（ST 抬高/压低方向性）</w:t>
      </w:r>
      <w:r>
        <w:rPr>
          <w:rFonts w:eastAsia="等线" w:ascii="Arial" w:cs="Arial" w:hAnsi="Arial"/>
          <w:sz w:val="22"/>
        </w:rPr>
        <w:t xml:space="preserve"> ≥ 75%（PoC 目标）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敏感性/特异性（PoC 目标）</w:t>
      </w:r>
      <w:r>
        <w:rPr>
          <w:rFonts w:eastAsia="等线" w:ascii="Arial" w:cs="Arial" w:hAnsi="Arial"/>
          <w:sz w:val="22"/>
        </w:rPr>
        <w:t>：sens ≥ 50–70%，spec ≥ 90%（务必在临床验证中确认）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十一：短期三步可执行行动（48 小时—2 周内能做）</w:t>
      </w:r>
      <w:bookmarkEnd w:id="14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技术准备（48–72 小时）</w:t>
      </w:r>
      <w:r>
        <w:rPr>
          <w:rFonts w:eastAsia="等线" w:ascii="Arial" w:cs="Arial" w:hAnsi="Arial"/>
          <w:sz w:val="22"/>
        </w:rPr>
        <w:t>：实现本地 ST 计算 + QC 模块（J-point 定位、ST 在 +60 ms 取值）并在内部做 50–200 条志愿者采样，调参。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 &amp; 法务文案（1 周）</w:t>
      </w:r>
      <w:r>
        <w:rPr>
          <w:rFonts w:eastAsia="等线" w:ascii="Arial" w:cs="Arial" w:hAnsi="Arial"/>
          <w:sz w:val="22"/>
        </w:rPr>
        <w:t>：完成 UI 文案、免责声明与“就医提示”流程，法务审核并形成最终上线文案。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小规模内测（2 周）</w:t>
      </w:r>
      <w:r>
        <w:rPr>
          <w:rFonts w:eastAsia="等线" w:ascii="Arial" w:cs="Arial" w:hAnsi="Arial"/>
          <w:sz w:val="22"/>
        </w:rPr>
        <w:t>：选 100–300 名内部/志愿者用户做 7–14 天采集，验证录制合格率、告警率与用户理解度，必要时调整阈值与提示策略。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结论（一句话）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Apple Watch 类设备</w:t>
      </w:r>
      <w:r>
        <w:rPr>
          <w:rFonts w:eastAsia="等线" w:ascii="Arial" w:cs="Arial" w:hAnsi="Arial"/>
          <w:b w:val="true"/>
          <w:sz w:val="22"/>
        </w:rPr>
        <w:t>能提供有价值的 ST 段趋势信息</w:t>
      </w:r>
      <w:r>
        <w:rPr>
          <w:rFonts w:eastAsia="等线" w:ascii="Arial" w:cs="Arial" w:hAnsi="Arial"/>
          <w:sz w:val="22"/>
        </w:rPr>
        <w:t xml:space="preserve">，适合做为 C 端 </w:t>
      </w:r>
      <w:r>
        <w:rPr>
          <w:rFonts w:eastAsia="等线" w:ascii="Arial" w:cs="Arial" w:hAnsi="Arial"/>
          <w:b w:val="true"/>
          <w:sz w:val="22"/>
        </w:rPr>
        <w:t>趋势/提示/远程复核</w:t>
      </w:r>
      <w:r>
        <w:rPr>
          <w:rFonts w:eastAsia="等线" w:ascii="Arial" w:cs="Arial" w:hAnsi="Arial"/>
          <w:sz w:val="22"/>
        </w:rPr>
        <w:t xml:space="preserve"> 工具，但</w:t>
      </w:r>
      <w:r>
        <w:rPr>
          <w:rFonts w:eastAsia="等线" w:ascii="Arial" w:cs="Arial" w:hAnsi="Arial"/>
          <w:b w:val="true"/>
          <w:sz w:val="22"/>
        </w:rPr>
        <w:t>必须严格做 QC、多次确认和保守的临床措辞</w:t>
      </w:r>
      <w:r>
        <w:rPr>
          <w:rFonts w:eastAsia="等线" w:ascii="Arial" w:cs="Arial" w:hAnsi="Arial"/>
          <w:sz w:val="22"/>
        </w:rPr>
        <w:t>，且所有用于临床决策的情形必须要求到院 12-lead/血标等金标准补充验证。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68890">
    <w:lvl>
      <w:start w:val="1"/>
      <w:numFmt w:val="decimal"/>
      <w:suff w:val="tab"/>
      <w:lvlText w:val="%1."/>
      <w:rPr>
        <w:color w:val="3370ff"/>
      </w:rPr>
    </w:lvl>
  </w:abstractNum>
  <w:abstractNum w:abstractNumId="468891">
    <w:lvl>
      <w:start w:val="2"/>
      <w:numFmt w:val="decimal"/>
      <w:suff w:val="tab"/>
      <w:lvlText w:val="%1."/>
      <w:rPr>
        <w:color w:val="3370ff"/>
      </w:rPr>
    </w:lvl>
  </w:abstractNum>
  <w:abstractNum w:abstractNumId="468892">
    <w:lvl>
      <w:start w:val="3"/>
      <w:numFmt w:val="decimal"/>
      <w:suff w:val="tab"/>
      <w:lvlText w:val="%1."/>
      <w:rPr>
        <w:color w:val="3370ff"/>
      </w:rPr>
    </w:lvl>
  </w:abstractNum>
  <w:abstractNum w:abstractNumId="468893">
    <w:lvl>
      <w:numFmt w:val="bullet"/>
      <w:suff w:val="tab"/>
      <w:lvlText w:val="•"/>
      <w:rPr>
        <w:color w:val="3370ff"/>
      </w:rPr>
    </w:lvl>
  </w:abstractNum>
  <w:abstractNum w:abstractNumId="468894">
    <w:lvl>
      <w:numFmt w:val="bullet"/>
      <w:suff w:val="tab"/>
      <w:lvlText w:val="•"/>
      <w:rPr>
        <w:color w:val="3370ff"/>
      </w:rPr>
    </w:lvl>
  </w:abstractNum>
  <w:abstractNum w:abstractNumId="468895">
    <w:lvl>
      <w:numFmt w:val="bullet"/>
      <w:suff w:val="tab"/>
      <w:lvlText w:val="•"/>
      <w:rPr>
        <w:color w:val="3370ff"/>
      </w:rPr>
    </w:lvl>
  </w:abstractNum>
  <w:abstractNum w:abstractNumId="468896">
    <w:lvl>
      <w:numFmt w:val="bullet"/>
      <w:suff w:val="tab"/>
      <w:lvlText w:val="•"/>
      <w:rPr>
        <w:color w:val="3370ff"/>
      </w:rPr>
    </w:lvl>
  </w:abstractNum>
  <w:abstractNum w:abstractNumId="468897">
    <w:lvl>
      <w:numFmt w:val="bullet"/>
      <w:suff w:val="tab"/>
      <w:lvlText w:val="•"/>
      <w:rPr>
        <w:color w:val="3370ff"/>
      </w:rPr>
    </w:lvl>
  </w:abstractNum>
  <w:abstractNum w:abstractNumId="468898">
    <w:lvl>
      <w:numFmt w:val="bullet"/>
      <w:suff w:val="tab"/>
      <w:lvlText w:val="•"/>
      <w:rPr>
        <w:color w:val="3370ff"/>
      </w:rPr>
    </w:lvl>
  </w:abstractNum>
  <w:abstractNum w:abstractNumId="468899">
    <w:lvl>
      <w:numFmt w:val="bullet"/>
      <w:suff w:val="tab"/>
      <w:lvlText w:val="•"/>
      <w:rPr>
        <w:color w:val="3370ff"/>
      </w:rPr>
    </w:lvl>
  </w:abstractNum>
  <w:abstractNum w:abstractNumId="468900">
    <w:lvl>
      <w:start w:val="1"/>
      <w:numFmt w:val="decimal"/>
      <w:suff w:val="tab"/>
      <w:lvlText w:val="%1."/>
      <w:rPr>
        <w:color w:val="3370ff"/>
      </w:rPr>
    </w:lvl>
  </w:abstractNum>
  <w:abstractNum w:abstractNumId="468901">
    <w:lvl>
      <w:numFmt w:val="bullet"/>
      <w:suff w:val="tab"/>
      <w:lvlText w:val="￮"/>
      <w:rPr>
        <w:color w:val="3370ff"/>
      </w:rPr>
    </w:lvl>
  </w:abstractNum>
  <w:abstractNum w:abstractNumId="468902">
    <w:lvl>
      <w:start w:val="2"/>
      <w:numFmt w:val="decimal"/>
      <w:suff w:val="tab"/>
      <w:lvlText w:val="%1."/>
      <w:rPr>
        <w:color w:val="3370ff"/>
      </w:rPr>
    </w:lvl>
  </w:abstractNum>
  <w:abstractNum w:abstractNumId="468903">
    <w:lvl>
      <w:numFmt w:val="bullet"/>
      <w:suff w:val="tab"/>
      <w:lvlText w:val="￮"/>
      <w:rPr>
        <w:color w:val="3370ff"/>
      </w:rPr>
    </w:lvl>
  </w:abstractNum>
  <w:abstractNum w:abstractNumId="468904">
    <w:lvl>
      <w:start w:val="3"/>
      <w:numFmt w:val="decimal"/>
      <w:suff w:val="tab"/>
      <w:lvlText w:val="%1."/>
      <w:rPr>
        <w:color w:val="3370ff"/>
      </w:rPr>
    </w:lvl>
  </w:abstractNum>
  <w:abstractNum w:abstractNumId="468905">
    <w:lvl>
      <w:numFmt w:val="bullet"/>
      <w:suff w:val="tab"/>
      <w:lvlText w:val="￮"/>
      <w:rPr>
        <w:color w:val="3370ff"/>
      </w:rPr>
    </w:lvl>
  </w:abstractNum>
  <w:abstractNum w:abstractNumId="468906">
    <w:lvl>
      <w:start w:val="4"/>
      <w:numFmt w:val="decimal"/>
      <w:suff w:val="tab"/>
      <w:lvlText w:val="%1."/>
      <w:rPr>
        <w:color w:val="3370ff"/>
      </w:rPr>
    </w:lvl>
  </w:abstractNum>
  <w:abstractNum w:abstractNumId="468907">
    <w:lvl>
      <w:numFmt w:val="bullet"/>
      <w:suff w:val="tab"/>
      <w:lvlText w:val="￮"/>
      <w:rPr>
        <w:color w:val="3370ff"/>
      </w:rPr>
    </w:lvl>
  </w:abstractNum>
  <w:abstractNum w:abstractNumId="468908">
    <w:lvl>
      <w:start w:val="1"/>
      <w:numFmt w:val="decimal"/>
      <w:suff w:val="tab"/>
      <w:lvlText w:val="%1."/>
      <w:rPr>
        <w:color w:val="3370ff"/>
      </w:rPr>
    </w:lvl>
  </w:abstractNum>
  <w:abstractNum w:abstractNumId="468909">
    <w:lvl>
      <w:numFmt w:val="bullet"/>
      <w:suff w:val="tab"/>
      <w:lvlText w:val="￮"/>
      <w:rPr>
        <w:color w:val="3370ff"/>
      </w:rPr>
    </w:lvl>
  </w:abstractNum>
  <w:abstractNum w:abstractNumId="468910">
    <w:lvl>
      <w:start w:val="2"/>
      <w:numFmt w:val="decimal"/>
      <w:suff w:val="tab"/>
      <w:lvlText w:val="%1."/>
      <w:rPr>
        <w:color w:val="3370ff"/>
      </w:rPr>
    </w:lvl>
  </w:abstractNum>
  <w:abstractNum w:abstractNumId="468911">
    <w:lvl>
      <w:numFmt w:val="bullet"/>
      <w:suff w:val="tab"/>
      <w:lvlText w:val="￮"/>
      <w:rPr>
        <w:color w:val="3370ff"/>
      </w:rPr>
    </w:lvl>
  </w:abstractNum>
  <w:abstractNum w:abstractNumId="468912">
    <w:lvl>
      <w:start w:val="3"/>
      <w:numFmt w:val="decimal"/>
      <w:suff w:val="tab"/>
      <w:lvlText w:val="%1."/>
      <w:rPr>
        <w:color w:val="3370ff"/>
      </w:rPr>
    </w:lvl>
  </w:abstractNum>
  <w:abstractNum w:abstractNumId="468913">
    <w:lvl>
      <w:numFmt w:val="bullet"/>
      <w:suff w:val="tab"/>
      <w:lvlText w:val="￮"/>
      <w:rPr>
        <w:color w:val="3370ff"/>
      </w:rPr>
    </w:lvl>
  </w:abstractNum>
  <w:abstractNum w:abstractNumId="468914">
    <w:lvl>
      <w:start w:val="1"/>
      <w:numFmt w:val="decimal"/>
      <w:suff w:val="tab"/>
      <w:lvlText w:val="%1."/>
      <w:rPr>
        <w:color w:val="3370ff"/>
      </w:rPr>
    </w:lvl>
  </w:abstractNum>
  <w:abstractNum w:abstractNumId="468915">
    <w:lvl>
      <w:numFmt w:val="bullet"/>
      <w:suff w:val="tab"/>
      <w:lvlText w:val="￮"/>
      <w:rPr>
        <w:color w:val="3370ff"/>
      </w:rPr>
    </w:lvl>
  </w:abstractNum>
  <w:abstractNum w:abstractNumId="468916">
    <w:lvl>
      <w:start w:val="2"/>
      <w:numFmt w:val="decimal"/>
      <w:suff w:val="tab"/>
      <w:lvlText w:val="%1."/>
      <w:rPr>
        <w:color w:val="3370ff"/>
      </w:rPr>
    </w:lvl>
  </w:abstractNum>
  <w:abstractNum w:abstractNumId="468917">
    <w:lvl>
      <w:numFmt w:val="bullet"/>
      <w:suff w:val="tab"/>
      <w:lvlText w:val="￮"/>
      <w:rPr>
        <w:color w:val="3370ff"/>
      </w:rPr>
    </w:lvl>
  </w:abstractNum>
  <w:abstractNum w:abstractNumId="468918">
    <w:lvl>
      <w:start w:val="3"/>
      <w:numFmt w:val="decimal"/>
      <w:suff w:val="tab"/>
      <w:lvlText w:val="%1."/>
      <w:rPr>
        <w:color w:val="3370ff"/>
      </w:rPr>
    </w:lvl>
  </w:abstractNum>
  <w:abstractNum w:abstractNumId="468919">
    <w:lvl>
      <w:numFmt w:val="bullet"/>
      <w:suff w:val="tab"/>
      <w:lvlText w:val="￮"/>
      <w:rPr>
        <w:color w:val="3370ff"/>
      </w:rPr>
    </w:lvl>
  </w:abstractNum>
  <w:abstractNum w:abstractNumId="468920">
    <w:lvl>
      <w:numFmt w:val="bullet"/>
      <w:suff w:val="tab"/>
      <w:lvlText w:val="•"/>
      <w:rPr>
        <w:color w:val="3370ff"/>
      </w:rPr>
    </w:lvl>
  </w:abstractNum>
  <w:abstractNum w:abstractNumId="468921">
    <w:lvl>
      <w:numFmt w:val="bullet"/>
      <w:suff w:val="tab"/>
      <w:lvlText w:val="•"/>
      <w:rPr>
        <w:color w:val="3370ff"/>
      </w:rPr>
    </w:lvl>
  </w:abstractNum>
  <w:abstractNum w:abstractNumId="468922">
    <w:lvl>
      <w:numFmt w:val="bullet"/>
      <w:suff w:val="tab"/>
      <w:lvlText w:val="•"/>
      <w:rPr>
        <w:color w:val="3370ff"/>
      </w:rPr>
    </w:lvl>
  </w:abstractNum>
  <w:abstractNum w:abstractNumId="468923">
    <w:lvl>
      <w:numFmt w:val="bullet"/>
      <w:suff w:val="tab"/>
      <w:lvlText w:val="•"/>
      <w:rPr>
        <w:color w:val="3370ff"/>
      </w:rPr>
    </w:lvl>
  </w:abstractNum>
  <w:abstractNum w:abstractNumId="468924">
    <w:lvl>
      <w:numFmt w:val="bullet"/>
      <w:suff w:val="tab"/>
      <w:lvlText w:val="•"/>
      <w:rPr>
        <w:color w:val="3370ff"/>
      </w:rPr>
    </w:lvl>
  </w:abstractNum>
  <w:abstractNum w:abstractNumId="468925">
    <w:lvl>
      <w:numFmt w:val="bullet"/>
      <w:suff w:val="tab"/>
      <w:lvlText w:val="•"/>
      <w:rPr>
        <w:color w:val="3370ff"/>
      </w:rPr>
    </w:lvl>
  </w:abstractNum>
  <w:abstractNum w:abstractNumId="468926">
    <w:lvl>
      <w:numFmt w:val="bullet"/>
      <w:suff w:val="tab"/>
      <w:lvlText w:val="•"/>
      <w:rPr>
        <w:color w:val="3370ff"/>
      </w:rPr>
    </w:lvl>
  </w:abstractNum>
  <w:abstractNum w:abstractNumId="468927">
    <w:lvl>
      <w:numFmt w:val="bullet"/>
      <w:suff w:val="tab"/>
      <w:lvlText w:val="•"/>
      <w:rPr>
        <w:color w:val="3370ff"/>
      </w:rPr>
    </w:lvl>
  </w:abstractNum>
  <w:abstractNum w:abstractNumId="468928">
    <w:lvl>
      <w:start w:val="1"/>
      <w:numFmt w:val="decimal"/>
      <w:suff w:val="tab"/>
      <w:lvlText w:val="%1."/>
      <w:rPr>
        <w:color w:val="3370ff"/>
      </w:rPr>
    </w:lvl>
  </w:abstractNum>
  <w:abstractNum w:abstractNumId="468929">
    <w:lvl>
      <w:start w:val="2"/>
      <w:numFmt w:val="decimal"/>
      <w:suff w:val="tab"/>
      <w:lvlText w:val="%1."/>
      <w:rPr>
        <w:color w:val="3370ff"/>
      </w:rPr>
    </w:lvl>
  </w:abstractNum>
  <w:abstractNum w:abstractNumId="468930">
    <w:lvl>
      <w:start w:val="3"/>
      <w:numFmt w:val="decimal"/>
      <w:suff w:val="tab"/>
      <w:lvlText w:val="%1."/>
      <w:rPr>
        <w:color w:val="3370ff"/>
      </w:rPr>
    </w:lvl>
  </w:abstractNum>
  <w:abstractNum w:abstractNumId="468931">
    <w:lvl>
      <w:start w:val="4"/>
      <w:numFmt w:val="decimal"/>
      <w:suff w:val="tab"/>
      <w:lvlText w:val="%1."/>
      <w:rPr>
        <w:color w:val="3370ff"/>
      </w:rPr>
    </w:lvl>
  </w:abstractNum>
  <w:abstractNum w:abstractNumId="468932">
    <w:lvl>
      <w:start w:val="5"/>
      <w:numFmt w:val="decimal"/>
      <w:suff w:val="tab"/>
      <w:lvlText w:val="%1."/>
      <w:rPr>
        <w:color w:val="3370ff"/>
      </w:rPr>
    </w:lvl>
  </w:abstractNum>
  <w:abstractNum w:abstractNumId="468933">
    <w:lvl>
      <w:start w:val="6"/>
      <w:numFmt w:val="decimal"/>
      <w:suff w:val="tab"/>
      <w:lvlText w:val="%1."/>
      <w:rPr>
        <w:color w:val="3370ff"/>
      </w:rPr>
    </w:lvl>
  </w:abstractNum>
  <w:abstractNum w:abstractNumId="468934">
    <w:lvl>
      <w:start w:val="1"/>
      <w:numFmt w:val="decimal"/>
      <w:suff w:val="tab"/>
      <w:lvlText w:val="%1."/>
      <w:rPr>
        <w:color w:val="3370ff"/>
      </w:rPr>
    </w:lvl>
  </w:abstractNum>
  <w:abstractNum w:abstractNumId="468935">
    <w:lvl>
      <w:start w:val="2"/>
      <w:numFmt w:val="decimal"/>
      <w:suff w:val="tab"/>
      <w:lvlText w:val="%1."/>
      <w:rPr>
        <w:color w:val="3370ff"/>
      </w:rPr>
    </w:lvl>
  </w:abstractNum>
  <w:abstractNum w:abstractNumId="468936">
    <w:lvl>
      <w:start w:val="3"/>
      <w:numFmt w:val="decimal"/>
      <w:suff w:val="tab"/>
      <w:lvlText w:val="%1."/>
      <w:rPr>
        <w:color w:val="3370ff"/>
      </w:rPr>
    </w:lvl>
  </w:abstractNum>
  <w:abstractNum w:abstractNumId="468937">
    <w:lvl>
      <w:start w:val="4"/>
      <w:numFmt w:val="decimal"/>
      <w:suff w:val="tab"/>
      <w:lvlText w:val="%1."/>
      <w:rPr>
        <w:color w:val="3370ff"/>
      </w:rPr>
    </w:lvl>
  </w:abstractNum>
  <w:abstractNum w:abstractNumId="468938">
    <w:lvl>
      <w:start w:val="5"/>
      <w:numFmt w:val="decimal"/>
      <w:suff w:val="tab"/>
      <w:lvlText w:val="%1."/>
      <w:rPr>
        <w:color w:val="3370ff"/>
      </w:rPr>
    </w:lvl>
  </w:abstractNum>
  <w:abstractNum w:abstractNumId="468939">
    <w:lvl>
      <w:start w:val="6"/>
      <w:numFmt w:val="decimal"/>
      <w:suff w:val="tab"/>
      <w:lvlText w:val="%1."/>
      <w:rPr>
        <w:color w:val="3370ff"/>
      </w:rPr>
    </w:lvl>
  </w:abstractNum>
  <w:abstractNum w:abstractNumId="468940">
    <w:lvl>
      <w:start w:val="7"/>
      <w:numFmt w:val="decimal"/>
      <w:suff w:val="tab"/>
      <w:lvlText w:val="%1."/>
      <w:rPr>
        <w:color w:val="3370ff"/>
      </w:rPr>
    </w:lvl>
  </w:abstractNum>
  <w:abstractNum w:abstractNumId="468941">
    <w:lvl>
      <w:numFmt w:val="bullet"/>
      <w:suff w:val="tab"/>
      <w:lvlText w:val="•"/>
      <w:rPr>
        <w:color w:val="3370ff"/>
      </w:rPr>
    </w:lvl>
  </w:abstractNum>
  <w:abstractNum w:abstractNumId="468942">
    <w:lvl>
      <w:numFmt w:val="bullet"/>
      <w:suff w:val="tab"/>
      <w:lvlText w:val="•"/>
      <w:rPr>
        <w:color w:val="3370ff"/>
      </w:rPr>
    </w:lvl>
  </w:abstractNum>
  <w:abstractNum w:abstractNumId="468943">
    <w:lvl>
      <w:numFmt w:val="bullet"/>
      <w:suff w:val="tab"/>
      <w:lvlText w:val="•"/>
      <w:rPr>
        <w:color w:val="3370ff"/>
      </w:rPr>
    </w:lvl>
  </w:abstractNum>
  <w:abstractNum w:abstractNumId="468944">
    <w:lvl>
      <w:numFmt w:val="bullet"/>
      <w:suff w:val="tab"/>
      <w:lvlText w:val="•"/>
      <w:rPr>
        <w:color w:val="3370ff"/>
      </w:rPr>
    </w:lvl>
  </w:abstractNum>
  <w:abstractNum w:abstractNumId="468945">
    <w:lvl>
      <w:numFmt w:val="bullet"/>
      <w:suff w:val="tab"/>
      <w:lvlText w:val="•"/>
      <w:rPr>
        <w:color w:val="3370ff"/>
      </w:rPr>
    </w:lvl>
  </w:abstractNum>
  <w:abstractNum w:abstractNumId="468946">
    <w:lvl>
      <w:numFmt w:val="bullet"/>
      <w:suff w:val="tab"/>
      <w:lvlText w:val="•"/>
      <w:rPr>
        <w:color w:val="3370ff"/>
      </w:rPr>
    </w:lvl>
  </w:abstractNum>
  <w:abstractNum w:abstractNumId="468947">
    <w:lvl>
      <w:numFmt w:val="bullet"/>
      <w:suff w:val="tab"/>
      <w:lvlText w:val="•"/>
      <w:rPr>
        <w:color w:val="3370ff"/>
      </w:rPr>
    </w:lvl>
  </w:abstractNum>
  <w:abstractNum w:abstractNumId="468948">
    <w:lvl>
      <w:numFmt w:val="bullet"/>
      <w:suff w:val="tab"/>
      <w:lvlText w:val="•"/>
      <w:rPr>
        <w:color w:val="3370ff"/>
      </w:rPr>
    </w:lvl>
  </w:abstractNum>
  <w:abstractNum w:abstractNumId="468949">
    <w:lvl>
      <w:start w:val="1"/>
      <w:numFmt w:val="decimal"/>
      <w:suff w:val="tab"/>
      <w:lvlText w:val="%1."/>
      <w:rPr>
        <w:color w:val="3370ff"/>
      </w:rPr>
    </w:lvl>
  </w:abstractNum>
  <w:abstractNum w:abstractNumId="468950">
    <w:lvl>
      <w:start w:val="2"/>
      <w:numFmt w:val="decimal"/>
      <w:suff w:val="tab"/>
      <w:lvlText w:val="%1."/>
      <w:rPr>
        <w:color w:val="3370ff"/>
      </w:rPr>
    </w:lvl>
  </w:abstractNum>
  <w:abstractNum w:abstractNumId="468951">
    <w:lvl>
      <w:start w:val="3"/>
      <w:numFmt w:val="decimal"/>
      <w:suff w:val="tab"/>
      <w:lvlText w:val="%1."/>
      <w:rPr>
        <w:color w:val="3370ff"/>
      </w:rPr>
    </w:lvl>
  </w:abstractNum>
  <w:abstractNum w:abstractNumId="468952">
    <w:lvl>
      <w:start w:val="4"/>
      <w:numFmt w:val="decimal"/>
      <w:suff w:val="tab"/>
      <w:lvlText w:val="%1."/>
      <w:rPr>
        <w:color w:val="3370ff"/>
      </w:rPr>
    </w:lvl>
  </w:abstractNum>
  <w:abstractNum w:abstractNumId="468953">
    <w:lvl>
      <w:start w:val="5"/>
      <w:numFmt w:val="decimal"/>
      <w:suff w:val="tab"/>
      <w:lvlText w:val="%1."/>
      <w:rPr>
        <w:color w:val="3370ff"/>
      </w:rPr>
    </w:lvl>
  </w:abstractNum>
  <w:abstractNum w:abstractNumId="468954">
    <w:lvl>
      <w:numFmt w:val="bullet"/>
      <w:suff w:val="tab"/>
      <w:lvlText w:val="•"/>
      <w:rPr>
        <w:color w:val="3370ff"/>
      </w:rPr>
    </w:lvl>
  </w:abstractNum>
  <w:abstractNum w:abstractNumId="468955">
    <w:lvl>
      <w:numFmt w:val="bullet"/>
      <w:suff w:val="tab"/>
      <w:lvlText w:val="•"/>
      <w:rPr>
        <w:color w:val="3370ff"/>
      </w:rPr>
    </w:lvl>
  </w:abstractNum>
  <w:abstractNum w:abstractNumId="468956">
    <w:lvl>
      <w:numFmt w:val="bullet"/>
      <w:suff w:val="tab"/>
      <w:lvlText w:val="•"/>
      <w:rPr>
        <w:color w:val="3370ff"/>
      </w:rPr>
    </w:lvl>
  </w:abstractNum>
  <w:abstractNum w:abstractNumId="468957">
    <w:lvl>
      <w:numFmt w:val="bullet"/>
      <w:suff w:val="tab"/>
      <w:lvlText w:val="•"/>
      <w:rPr>
        <w:color w:val="3370ff"/>
      </w:rPr>
    </w:lvl>
  </w:abstractNum>
  <w:abstractNum w:abstractNumId="468958">
    <w:lvl>
      <w:start w:val="1"/>
      <w:numFmt w:val="decimal"/>
      <w:suff w:val="tab"/>
      <w:lvlText w:val="%1."/>
      <w:rPr>
        <w:color w:val="3370ff"/>
      </w:rPr>
    </w:lvl>
  </w:abstractNum>
  <w:abstractNum w:abstractNumId="468959">
    <w:lvl>
      <w:start w:val="2"/>
      <w:numFmt w:val="decimal"/>
      <w:suff w:val="tab"/>
      <w:lvlText w:val="%1."/>
      <w:rPr>
        <w:color w:val="3370ff"/>
      </w:rPr>
    </w:lvl>
  </w:abstractNum>
  <w:abstractNum w:abstractNumId="46896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68890"/>
  </w:num>
  <w:num w:numId="2">
    <w:abstractNumId w:val="468891"/>
  </w:num>
  <w:num w:numId="3">
    <w:abstractNumId w:val="468892"/>
  </w:num>
  <w:num w:numId="4">
    <w:abstractNumId w:val="468893"/>
  </w:num>
  <w:num w:numId="5">
    <w:abstractNumId w:val="468894"/>
  </w:num>
  <w:num w:numId="6">
    <w:abstractNumId w:val="468895"/>
  </w:num>
  <w:num w:numId="7">
    <w:abstractNumId w:val="468896"/>
  </w:num>
  <w:num w:numId="8">
    <w:abstractNumId w:val="468897"/>
  </w:num>
  <w:num w:numId="9">
    <w:abstractNumId w:val="468898"/>
  </w:num>
  <w:num w:numId="10">
    <w:abstractNumId w:val="468899"/>
  </w:num>
  <w:num w:numId="11">
    <w:abstractNumId w:val="468900"/>
  </w:num>
  <w:num w:numId="12">
    <w:abstractNumId w:val="468901"/>
  </w:num>
  <w:num w:numId="13">
    <w:abstractNumId w:val="468902"/>
  </w:num>
  <w:num w:numId="14">
    <w:abstractNumId w:val="468903"/>
  </w:num>
  <w:num w:numId="15">
    <w:abstractNumId w:val="468904"/>
  </w:num>
  <w:num w:numId="16">
    <w:abstractNumId w:val="468905"/>
  </w:num>
  <w:num w:numId="17">
    <w:abstractNumId w:val="468906"/>
  </w:num>
  <w:num w:numId="18">
    <w:abstractNumId w:val="468907"/>
  </w:num>
  <w:num w:numId="19">
    <w:abstractNumId w:val="468908"/>
  </w:num>
  <w:num w:numId="20">
    <w:abstractNumId w:val="468909"/>
  </w:num>
  <w:num w:numId="21">
    <w:abstractNumId w:val="468910"/>
  </w:num>
  <w:num w:numId="22">
    <w:abstractNumId w:val="468911"/>
  </w:num>
  <w:num w:numId="23">
    <w:abstractNumId w:val="468912"/>
  </w:num>
  <w:num w:numId="24">
    <w:abstractNumId w:val="468913"/>
  </w:num>
  <w:num w:numId="25">
    <w:abstractNumId w:val="468914"/>
  </w:num>
  <w:num w:numId="26">
    <w:abstractNumId w:val="468915"/>
  </w:num>
  <w:num w:numId="27">
    <w:abstractNumId w:val="468916"/>
  </w:num>
  <w:num w:numId="28">
    <w:abstractNumId w:val="468917"/>
  </w:num>
  <w:num w:numId="29">
    <w:abstractNumId w:val="468918"/>
  </w:num>
  <w:num w:numId="30">
    <w:abstractNumId w:val="468919"/>
  </w:num>
  <w:num w:numId="31">
    <w:abstractNumId w:val="468920"/>
  </w:num>
  <w:num w:numId="32">
    <w:abstractNumId w:val="468921"/>
  </w:num>
  <w:num w:numId="33">
    <w:abstractNumId w:val="468922"/>
  </w:num>
  <w:num w:numId="34">
    <w:abstractNumId w:val="468923"/>
  </w:num>
  <w:num w:numId="35">
    <w:abstractNumId w:val="468924"/>
  </w:num>
  <w:num w:numId="36">
    <w:abstractNumId w:val="468925"/>
  </w:num>
  <w:num w:numId="37">
    <w:abstractNumId w:val="468926"/>
  </w:num>
  <w:num w:numId="38">
    <w:abstractNumId w:val="468927"/>
  </w:num>
  <w:num w:numId="39">
    <w:abstractNumId w:val="468928"/>
  </w:num>
  <w:num w:numId="40">
    <w:abstractNumId w:val="468929"/>
  </w:num>
  <w:num w:numId="41">
    <w:abstractNumId w:val="468930"/>
  </w:num>
  <w:num w:numId="42">
    <w:abstractNumId w:val="468931"/>
  </w:num>
  <w:num w:numId="43">
    <w:abstractNumId w:val="468932"/>
  </w:num>
  <w:num w:numId="44">
    <w:abstractNumId w:val="468933"/>
  </w:num>
  <w:num w:numId="45">
    <w:abstractNumId w:val="468934"/>
  </w:num>
  <w:num w:numId="46">
    <w:abstractNumId w:val="468935"/>
  </w:num>
  <w:num w:numId="47">
    <w:abstractNumId w:val="468936"/>
  </w:num>
  <w:num w:numId="48">
    <w:abstractNumId w:val="468937"/>
  </w:num>
  <w:num w:numId="49">
    <w:abstractNumId w:val="468938"/>
  </w:num>
  <w:num w:numId="50">
    <w:abstractNumId w:val="468939"/>
  </w:num>
  <w:num w:numId="51">
    <w:abstractNumId w:val="468940"/>
  </w:num>
  <w:num w:numId="52">
    <w:abstractNumId w:val="468941"/>
  </w:num>
  <w:num w:numId="53">
    <w:abstractNumId w:val="468942"/>
  </w:num>
  <w:num w:numId="54">
    <w:abstractNumId w:val="468943"/>
  </w:num>
  <w:num w:numId="55">
    <w:abstractNumId w:val="468944"/>
  </w:num>
  <w:num w:numId="56">
    <w:abstractNumId w:val="468945"/>
  </w:num>
  <w:num w:numId="57">
    <w:abstractNumId w:val="468946"/>
  </w:num>
  <w:num w:numId="58">
    <w:abstractNumId w:val="468947"/>
  </w:num>
  <w:num w:numId="59">
    <w:abstractNumId w:val="468948"/>
  </w:num>
  <w:num w:numId="60">
    <w:abstractNumId w:val="468949"/>
  </w:num>
  <w:num w:numId="61">
    <w:abstractNumId w:val="468950"/>
  </w:num>
  <w:num w:numId="62">
    <w:abstractNumId w:val="468951"/>
  </w:num>
  <w:num w:numId="63">
    <w:abstractNumId w:val="468952"/>
  </w:num>
  <w:num w:numId="64">
    <w:abstractNumId w:val="468953"/>
  </w:num>
  <w:num w:numId="65">
    <w:abstractNumId w:val="468954"/>
  </w:num>
  <w:num w:numId="66">
    <w:abstractNumId w:val="468955"/>
  </w:num>
  <w:num w:numId="67">
    <w:abstractNumId w:val="468956"/>
  </w:num>
  <w:num w:numId="68">
    <w:abstractNumId w:val="468957"/>
  </w:num>
  <w:num w:numId="69">
    <w:abstractNumId w:val="468958"/>
  </w:num>
  <w:num w:numId="70">
    <w:abstractNumId w:val="468959"/>
  </w:num>
  <w:num w:numId="71">
    <w:abstractNumId w:val="4689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2025-12-30T10:07:21Z</dcterms:created>
  <dc:creator>Apache POI</dc:creator>
</cp:coreProperties>
</file>