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公司自建大模型或购买第三方API服务费用预研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一、第三方API 横向对比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1.1 deepseek 官方API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763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deepseek-reasoner</w:t>
      </w:r>
      <w:r>
        <w:rPr>
          <w:rFonts w:eastAsia="等线" w:ascii="Arial" w:cs="Arial" w:hAnsi="Arial"/>
          <w:sz w:val="22"/>
        </w:rPr>
        <w:t xml:space="preserve"> 模型为新模型 </w:t>
      </w:r>
      <w:r>
        <w:rPr>
          <w:rFonts w:eastAsia="等线" w:ascii="Arial" w:cs="Arial" w:hAnsi="Arial"/>
          <w:b w:val="true"/>
          <w:sz w:val="22"/>
        </w:rPr>
        <w:t>DeepSeek-R1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优点：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6710亿参数  ，推理能力强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缺点：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目前基本不可用阶段，太卡，接口慢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1.2 阿里云百炼API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 xml:space="preserve">DeepSeek-R1 </w:t>
      </w:r>
      <w:bookmarkEnd w:id="5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DeepSeek-R1 在后训练阶段大规模使用了强化学习技术，在仅有极少标注数据的情况下，极大提升了模型推理能力。在数学、代码、自然语言推理等任务上，性能较高，能力较强。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计费详情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模型调用-输入</w:t>
      </w:r>
      <w:r>
        <w:rPr>
          <w:rFonts w:eastAsia="等线" w:ascii="Arial" w:cs="Arial" w:hAnsi="Arial"/>
          <w:color w:val="de7802"/>
          <w:sz w:val="22"/>
        </w:rPr>
        <w:t>¥0.004</w:t>
      </w:r>
      <w:r>
        <w:rPr>
          <w:rFonts w:eastAsia="等线" w:ascii="Arial" w:cs="Arial" w:hAnsi="Arial"/>
          <w:color w:val="8f959e"/>
          <w:sz w:val="22"/>
        </w:rPr>
        <w:t>/千Token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模型调用-输出</w:t>
      </w:r>
      <w:r>
        <w:rPr>
          <w:rFonts w:eastAsia="等线" w:ascii="Arial" w:cs="Arial" w:hAnsi="Arial"/>
          <w:color w:val="de7802"/>
          <w:sz w:val="22"/>
        </w:rPr>
        <w:t>¥0.016</w:t>
      </w:r>
      <w:r>
        <w:rPr>
          <w:rFonts w:eastAsia="等线" w:ascii="Arial" w:cs="Arial" w:hAnsi="Arial"/>
          <w:color w:val="8f959e"/>
          <w:sz w:val="22"/>
        </w:rPr>
        <w:t>/千Token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免费额度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bbbfc4"/>
        </w:rPr>
        <w:t>模型免费额度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bbbfc4"/>
        </w:rPr>
        <w:t>仅适用于本模型专属的免费额度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bbbfc4"/>
        </w:rPr>
        <w:t>免费额度：</w:t>
      </w:r>
      <w:r>
        <w:rPr>
          <w:rFonts w:eastAsia="等线" w:ascii="Arial" w:cs="Arial" w:hAnsi="Arial"/>
          <w:color w:val="245bdb"/>
          <w:sz w:val="22"/>
          <w:shd w:fill="bbbfc4"/>
        </w:rPr>
        <w:t>9990724/10000000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bbbfc4"/>
        </w:rPr>
        <w:t>最近到期免费额度：</w:t>
      </w:r>
      <w:r>
        <w:rPr>
          <w:rFonts w:eastAsia="等线" w:ascii="Arial" w:cs="Arial" w:hAnsi="Arial"/>
          <w:color w:val="245bdb"/>
          <w:sz w:val="22"/>
          <w:shd w:fill="bbbfc4"/>
        </w:rPr>
        <w:t>9990724/10000000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bbbfc4"/>
        </w:rPr>
        <w:t>最近到期时间：</w:t>
      </w:r>
      <w:r>
        <w:rPr>
          <w:rFonts w:eastAsia="等线" w:ascii="Arial" w:cs="Arial" w:hAnsi="Arial"/>
          <w:color w:val="245bdb"/>
          <w:sz w:val="22"/>
          <w:shd w:fill="bbbfc4"/>
        </w:rPr>
        <w:t>2025-07-26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缺点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推理速度稍慢 ，不能满足 2分钟必须出报告的需求 （主要出现二次调用大模型），时间上基本满足不来二次调用推理需求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 xml:space="preserve">DeepSeek-V3 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为自研 MoE 模型，671B 参数，激活 37B，在 14.8T token 上进行了预训练，在长文本、代码、数学、百科、中文 能力上表现优秀。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计费详情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模型调用-输入</w:t>
      </w:r>
      <w:r>
        <w:rPr>
          <w:rFonts w:eastAsia="等线" w:ascii="Arial" w:cs="Arial" w:hAnsi="Arial"/>
          <w:color w:val="de7802"/>
          <w:sz w:val="22"/>
        </w:rPr>
        <w:t>¥0.002</w:t>
      </w:r>
      <w:r>
        <w:rPr>
          <w:rFonts w:eastAsia="等线" w:ascii="Arial" w:cs="Arial" w:hAnsi="Arial"/>
          <w:color w:val="8f959e"/>
          <w:sz w:val="22"/>
        </w:rPr>
        <w:t>/千Token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模型调用-输出</w:t>
      </w:r>
      <w:r>
        <w:rPr>
          <w:rFonts w:eastAsia="等线" w:ascii="Arial" w:cs="Arial" w:hAnsi="Arial"/>
          <w:color w:val="de7802"/>
          <w:sz w:val="22"/>
        </w:rPr>
        <w:t>¥0.008</w:t>
      </w:r>
      <w:r>
        <w:rPr>
          <w:rFonts w:eastAsia="等线" w:ascii="Arial" w:cs="Arial" w:hAnsi="Arial"/>
          <w:color w:val="8f959e"/>
          <w:sz w:val="22"/>
        </w:rPr>
        <w:t>/千Token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免费额度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模型免费额度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仅适用于本模型专属的免费额度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免费额度：</w:t>
      </w:r>
      <w:r>
        <w:rPr>
          <w:rFonts w:eastAsia="等线" w:ascii="Arial" w:cs="Arial" w:hAnsi="Arial"/>
          <w:color w:val="245bdb"/>
          <w:sz w:val="22"/>
          <w:shd w:fill="bbbfc4"/>
        </w:rPr>
        <w:t>1000000/1000000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最近到期免费额度：</w:t>
      </w:r>
      <w:r>
        <w:rPr>
          <w:rFonts w:eastAsia="等线" w:ascii="Arial" w:cs="Arial" w:hAnsi="Arial"/>
          <w:color w:val="245bdb"/>
          <w:sz w:val="22"/>
          <w:shd w:fill="bbbfc4"/>
        </w:rPr>
        <w:t>1000000/1000000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bbfc4"/>
        </w:rPr>
        <w:t>最近到期时间：</w:t>
      </w:r>
      <w:r>
        <w:rPr>
          <w:rFonts w:eastAsia="等线" w:ascii="Arial" w:cs="Arial" w:hAnsi="Arial"/>
          <w:color w:val="245bdb"/>
          <w:sz w:val="22"/>
          <w:shd w:fill="bbbfc4"/>
        </w:rPr>
        <w:t>2025-07-26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缺点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推理速度稍慢 ，API慢，时间上基本满足不来二次调用推理需求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 xml:space="preserve">1.3 Qwen2.5系列32B模型 </w:t>
      </w:r>
      <w:r>
        <w:rPr>
          <w:rFonts w:eastAsia="等线" w:ascii="Arial" w:cs="Arial" w:hAnsi="Arial"/>
          <w:b w:val="true"/>
          <w:color w:val="d83931"/>
          <w:sz w:val="32"/>
        </w:rPr>
        <w:t>（目前提测阶段，在用）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相较于 Qwen2，Qwen2.5 获得了显著更多的知识，并在编程能力和数学能力方面有了大幅提升。此外，新模型在指令执行、生成长文本、理解结构化数据（例如表格）以及生成结构化输出特别是 JSON 方面取得了显著改进。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计费详情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模型调用-输入</w:t>
      </w:r>
      <w:r>
        <w:rPr>
          <w:rFonts w:eastAsia="等线" w:ascii="Arial" w:cs="Arial" w:hAnsi="Arial"/>
          <w:color w:val="de7802"/>
          <w:sz w:val="22"/>
        </w:rPr>
        <w:t>¥0.002</w:t>
      </w:r>
      <w:r>
        <w:rPr>
          <w:rFonts w:eastAsia="等线" w:ascii="Arial" w:cs="Arial" w:hAnsi="Arial"/>
          <w:color w:val="8f959e"/>
          <w:sz w:val="22"/>
        </w:rPr>
        <w:t>/千Token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模型调用-输出</w:t>
      </w:r>
      <w:r>
        <w:rPr>
          <w:rFonts w:eastAsia="等线" w:ascii="Arial" w:cs="Arial" w:hAnsi="Arial"/>
          <w:color w:val="de7802"/>
          <w:sz w:val="22"/>
        </w:rPr>
        <w:t>¥0.006</w:t>
      </w:r>
      <w:r>
        <w:rPr>
          <w:rFonts w:eastAsia="等线" w:ascii="Arial" w:cs="Arial" w:hAnsi="Arial"/>
          <w:color w:val="8f959e"/>
          <w:sz w:val="22"/>
        </w:rPr>
        <w:t>/千Token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模型训练</w:t>
      </w:r>
      <w:r>
        <w:rPr>
          <w:rFonts w:eastAsia="等线" w:ascii="Arial" w:cs="Arial" w:hAnsi="Arial"/>
          <w:color w:val="de7802"/>
          <w:sz w:val="22"/>
        </w:rPr>
        <w:t>¥0.03</w:t>
      </w:r>
      <w:r>
        <w:rPr>
          <w:rFonts w:eastAsia="等线" w:ascii="Arial" w:cs="Arial" w:hAnsi="Arial"/>
          <w:color w:val="8f959e"/>
          <w:sz w:val="22"/>
        </w:rPr>
        <w:t>/千Token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优点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可以满足推理  ，也可以满足API速度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满足根据用户的测量数据进行趋势报告总结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心脏+ 准备上线的趋势日报、周报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缺点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注册号的比较早，免费额度没有，目前个人账户先用后付费模式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2" w:id="12"/>
      <w:r>
        <w:rPr>
          <w:rFonts w:eastAsia="等线" w:ascii="Arial" w:cs="Arial" w:hAnsi="Arial"/>
          <w:b w:val="true"/>
          <w:sz w:val="36"/>
        </w:rPr>
        <w:t>二、测试环境自建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目前测试环境，有两个 3060显卡 11G显存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DeepSeek-R1 1.5B &amp; 7B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优点：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速度比较快 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日常简单咨询   可以满足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垂直知识库+简单问题    可以满足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不上传文件模式下，使用的是 DeepSeek-R1 1.5B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公司内部自建 DeeSeek-R1 聊天工具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https://ai-test.995120.cn/chat/aZ95TZoWXxXnbgfn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缺点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推理复杂任务无法满足，比如 文本转SQL ，无法满足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推理出用户生理数据，总结趋势，无法满足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6" w:id="16"/>
      <w:r>
        <w:rPr>
          <w:rFonts w:eastAsia="等线" w:ascii="Arial" w:cs="Arial" w:hAnsi="Arial"/>
          <w:b w:val="true"/>
          <w:sz w:val="36"/>
        </w:rPr>
        <w:t>三、生产环境自建</w:t>
      </w:r>
      <w:bookmarkEnd w:id="1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3.1 向量知识库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dify + bge-m3 向量知识库 搭建最低配置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15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云服务器报价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3370ff"/>
          <w:sz w:val="22"/>
        </w:rPr>
        <w:t>@陈海波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90"/>
        <w:gridCol w:w="4290"/>
      </w:tblGrid>
      <w:tr>
        <w:tc>
          <w:tcPr>
            <w:tcW w:w="3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规格</w:t>
            </w:r>
          </w:p>
        </w:tc>
        <w:tc>
          <w:tcPr>
            <w:tcW w:w="4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价格/年</w:t>
            </w:r>
          </w:p>
        </w:tc>
      </w:tr>
      <w:tr>
        <w:tc>
          <w:tcPr>
            <w:tcW w:w="3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规格: GPU加速型 | pi2.2xlarge.4 | 8vCPUs | 32GiB | GPU显卡: 1 * NVIDIA Tesla T4 / 1 * 16GiB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系统盘: 通用型SSD, 40GiB</w:t>
            </w:r>
          </w:p>
        </w:tc>
        <w:tc>
          <w:tcPr>
            <w:tcW w:w="4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1"/>
              <w:spacing w:before="380" w:after="140" w:line="288" w:lineRule="auto"/>
              <w:ind w:left="0"/>
              <w:jc w:val="left"/>
              <w:outlineLvl w:val="0"/>
            </w:pPr>
            <w:bookmarkStart w:name="heading_19" w:id="19"/>
            <w:r>
              <w:rPr>
                <w:rFonts w:eastAsia="等线" w:ascii="Arial" w:cs="Arial" w:hAnsi="Arial"/>
                <w:b w:val="true"/>
                <w:sz w:val="36"/>
              </w:rPr>
              <w:t>¥25,719.53</w:t>
            </w:r>
            <w:bookmarkEnd w:id="19"/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3.2 大模型</w:t>
      </w:r>
      <w:bookmarkEnd w:id="2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DeepSeek-R1 32B （最优选）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需要最低配置</w:t>
      </w:r>
    </w:p>
    <w:p>
      <w:pPr>
        <w:spacing w:before="120" w:after="120" w:line="288" w:lineRule="auto"/>
        <w:ind w:left="0"/>
      </w:pPr>
      <w:r>
        <w:object>
          <v:shape id="_x0000_i1026" style="width:414pt;height:96pt;mso-width-percent:0;mso-height-percent:0;mso-width-percent:0;mso-height-percent:0" type="#_x0000_t75" o:ole="">
            <v:imagedata r:id="rId9" o:title=""/>
          </v:shape>
          <o:OLEObject DrawAspect="Icon" ObjectID="_1718471220" ProgID="Excel.Sheet.12" ShapeID="_x0000_i1026" Type="Embed" r:id="rId8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云服务器报价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华为云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3370ff"/>
          <w:sz w:val="22"/>
        </w:rPr>
        <w:t>@陈海波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480"/>
        <w:gridCol w:w="1800"/>
      </w:tblGrid>
      <w:tr>
        <w:tc>
          <w:tcPr>
            <w:tcW w:w="6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规格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价格/年</w:t>
            </w:r>
          </w:p>
        </w:tc>
      </w:tr>
      <w:tr>
        <w:tc>
          <w:tcPr>
            <w:tcW w:w="6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规格: GPU加速型 | pi1.4xlarge.4 | 16vCPUs | 64GiB | GPU显卡: 2 * NVIDIA P4 / 2 * 8G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系统盘: 通用型SSD, 40GiB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1"/>
              <w:spacing w:before="380" w:after="140" w:line="288" w:lineRule="auto"/>
              <w:ind w:left="0"/>
              <w:jc w:val="left"/>
              <w:outlineLvl w:val="0"/>
            </w:pPr>
            <w:bookmarkStart w:name="heading_23" w:id="23"/>
            <w:r>
              <w:rPr>
                <w:rFonts w:eastAsia="等线" w:ascii="Arial" w:cs="Arial" w:hAnsi="Arial"/>
                <w:b w:val="true"/>
                <w:sz w:val="36"/>
              </w:rPr>
              <w:t>¥45,830.60</w:t>
            </w:r>
            <w:bookmarkEnd w:id="23"/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自建，机房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买显卡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显存 ≥ 24GB（如 RTX 3090 或 A5000）*2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（8000~15000） *2 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642693">
    <w:lvl>
      <w:start w:val="1"/>
      <w:numFmt w:val="decimal"/>
      <w:suff w:val="tab"/>
      <w:lvlText w:val="%1."/>
      <w:rPr>
        <w:color w:val="3370ff"/>
      </w:rPr>
    </w:lvl>
  </w:abstractNum>
  <w:abstractNum w:abstractNumId="642694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642693"/>
  </w:num>
  <w:num w:numId="2">
    <w:abstractNumId w:val="64269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embeddings/Microsoft_Excel_Worksheet1.xlsx" Type="http://schemas.openxmlformats.org/officeDocument/2006/relationships/package"/><Relationship Id="rId7" Target="media/image2.png" Type="http://schemas.openxmlformats.org/officeDocument/2006/relationships/image"/><Relationship Id="rId8" Target="embeddings/Microsoft_Excel_Worksheet2.xlsx" Type="http://schemas.openxmlformats.org/officeDocument/2006/relationships/package"/><Relationship Id="rId9" Target="media/image3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2025-02-12T00:55:39Z</dcterms:created>
  <dc:creator>Apache POI</dc:creator>
</cp:coreProperties>
</file>