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Capacity Agent Excel 模板字段审查说明</w:t>
      </w:r>
    </w:p>
    <w:p>
      <w:pPr>
        <w:jc w:val="center"/>
      </w:pPr>
      <w:r>
        <w:rPr>
          <w:color w:val="555555"/>
          <w:sz w:val="22"/>
        </w:rPr>
        <w:t>用于需求评审留档、前端导入校验与后续算法优化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6FF"/>
          </w:tcPr>
          <w:p>
            <w:pPr>
              <w:spacing w:after="0"/>
            </w:pPr>
            <w:r/>
            <w:r>
              <w:rPr>
                <w:b/>
                <w:color w:val="0B2545"/>
                <w:sz w:val="21"/>
              </w:rPr>
              <w:t>审查结论</w:t>
            </w:r>
            <w:r>
              <w:t xml:space="preserve">  当前模板已经覆盖 R6 月度投片、产能约束、WIP、复杂 Path、备机能力等正式投片决策所需核心数据。后续不建议继续简单增加字段，而应按“标准版 / 正式决策版”分层管理，并让算法真正消费关键治理字段。</w:t>
            </w:r>
          </w:p>
        </w:tc>
      </w:tr>
    </w:tbl>
    <w:p/>
    <w:p>
      <w:pPr>
        <w:pStyle w:val="Heading1"/>
      </w:pPr>
      <w:r>
        <w:t>1. 字段分级原则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处理建议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类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算法必需字段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导入时必须校验，缺失会导致产能计算、WIP 负荷或投片优化失真。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类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正式决策增强字段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建议保留，用于 R6 承诺、冻结、优先级、复杂 Path、备机和场景分析。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C 类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展示 / 治理 / 未来扩展字段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可选字段，不建议强制填写；用于解释、追溯、页面展示或后续算法扩展。</w:t>
            </w:r>
          </w:p>
        </w:tc>
      </w:tr>
    </w:tbl>
    <w:p/>
    <w:p>
      <w:pPr>
        <w:pStyle w:val="Heading1"/>
      </w:pPr>
      <w:r>
        <w:t>2. 推荐模板分层</w:t>
      </w:r>
    </w:p>
    <w:p>
      <w:pPr>
        <w:pStyle w:val="ListBullet"/>
      </w:pPr>
      <w:r>
        <w:t>标准版模板：保留 route_master、tool_groups、oee、demand_plan、wip_lot_detail，覆盖常规 RCCP、WIP 口径分析和计划可行性判断。</w:t>
      </w:r>
    </w:p>
    <w:p>
      <w:pPr>
        <w:pStyle w:val="ListBullet"/>
      </w:pPr>
      <w:r>
        <w:t>正式决策版模板：在标准版基础上增加 tool_master、process_master、tool_process_capability、backup_path，覆盖复杂 Path、单机能力、备机切换和正式投片承诺。</w:t>
      </w:r>
    </w:p>
    <w:p>
      <w:pPr>
        <w:pStyle w:val="ListBullet"/>
      </w:pPr>
      <w:r>
        <w:t>README 与 field_dictionary 不参与算法计算，但建议保留，用于业务方填报说明、字段口径统一和模板自解释。</w:t>
      </w:r>
    </w:p>
    <w:p>
      <w:pPr>
        <w:pStyle w:val="Heading1"/>
      </w:pPr>
      <w:r>
        <w:t>3. 字段用途与必要性审查</w:t>
      </w:r>
    </w:p>
    <w:p>
      <w:pPr>
        <w:pStyle w:val="Heading2"/>
      </w:pPr>
      <w:r>
        <w:t>route_master：产品工艺路径与设备组负荷折算表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280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主要用途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必要性</w:t>
            </w:r>
          </w:p>
        </w:tc>
        <w:tc>
          <w:tcPr>
            <w:tcW w:type="dxa" w:w="3671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审查说明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product_id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产品与工艺路径匹配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核心主键，缺失无法计算该产品产能需求。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path_id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区分主路径、备选路径或版本路径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正式使用时建议与 route_version 配合。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step_seq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识别工艺顺序与 WIP 所在站点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WIP 只应计算当前站点之后的剩余负荷。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tool_group_id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映射瓶颈设备组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RCCP 产能约束的资源维度。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run_time_hr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单步加工时间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用于折算小时负荷。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batch_size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批量大小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用于批量折算小时 / 片。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visit_count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重复进站次数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支持存储芯片制造中的重入路径。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route_version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路径版本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支持 current、R6、scenario 等版本治理。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step_name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工序名称展示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C 可选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主要用于前端解释与业务沟通。</w:t>
            </w:r>
          </w:p>
        </w:tc>
      </w:tr>
    </w:tbl>
    <w:p/>
    <w:p>
      <w:pPr>
        <w:pStyle w:val="Heading2"/>
      </w:pPr>
      <w:r>
        <w:t>tool_groups：设备组与产能资源主数据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280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主要用途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必要性</w:t>
            </w:r>
          </w:p>
        </w:tc>
        <w:tc>
          <w:tcPr>
            <w:tcW w:type="dxa" w:w="3671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审查说明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tool_group_id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产能资源主键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连接 Route、OEE、WIP 与产能结果。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tool_group_name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设备组名称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便于页面与汇报展示。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area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工艺区域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支持按区域查看产能与瓶颈。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n_machines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设备台数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available_hours 缺失时用于折算设备可用小时。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nameplate_throughput_wph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理论吞吐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用于瓶颈、排队与 DES 分析解释。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process_type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工艺分类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C 可选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当前偏展示与治理。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is_active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资源是否启用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建议后续算法真正过滤未启用资源。</w:t>
            </w:r>
          </w:p>
        </w:tc>
      </w:tr>
    </w:tbl>
    <w:p/>
    <w:p>
      <w:pPr>
        <w:pStyle w:val="Heading2"/>
      </w:pPr>
      <w:r>
        <w:t>oee：设备组可用产能与效率数据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280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主要用途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必要性</w:t>
            </w:r>
          </w:p>
        </w:tc>
        <w:tc>
          <w:tcPr>
            <w:tcW w:type="dxa" w:w="3671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审查说明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fact_date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产能日期 / 周期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用于匹配计划窗口与历史趋势。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tool_group_id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关联设备组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连接资源主数据。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available_hours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实际可用小时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最直接的产能约束输入。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availability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可用率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可作为 available_hours 的补充或解释。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性能效率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可作为 OEE 与产能折算依据。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quality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质量效率 / 良率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C 可选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若已提供 oee 和 available_hours，可作为解释字段。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oee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综合设备效率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用于趋势、看板和效率解释。</w:t>
            </w:r>
          </w:p>
        </w:tc>
      </w:tr>
    </w:tbl>
    <w:p/>
    <w:p>
      <w:pPr>
        <w:pStyle w:val="Heading2"/>
      </w:pPr>
      <w:r>
        <w:t>demand_plan：R6 月度投片需求与计划治理数据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280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主要用途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必要性</w:t>
            </w:r>
          </w:p>
        </w:tc>
        <w:tc>
          <w:tcPr>
            <w:tcW w:type="dxa" w:w="3671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审查说明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time_window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计划窗口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用于月度、周度或冻结周期匹配。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product_id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计划产品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连接路径和 WIP。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wafer_count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需求投片量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主生产计划输入。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priority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计划优先级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不可行时用于排序与取舍。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contract_min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最低承诺量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正式决策建议保留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支撑产能承诺与客户保障。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market_max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最大市场需求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作为优化上限，避免过量投片。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unit_profit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单位收益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视目标保留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用于利润最大化场景。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plan_version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计划版本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支撑 R6、冻结版、模拟版追溯。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release_status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发布状态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区分草稿、冻结、发布计划。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owner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责任人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C 可选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治理与追溯字段。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approved_at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审批时间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C 可选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治理与审计字段。</w:t>
            </w:r>
          </w:p>
        </w:tc>
      </w:tr>
    </w:tbl>
    <w:p/>
    <w:p>
      <w:pPr>
        <w:pStyle w:val="Heading2"/>
      </w:pPr>
      <w:r>
        <w:t>wip_lot_detail：在制品批次明细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280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主要用途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必要性</w:t>
            </w:r>
          </w:p>
        </w:tc>
        <w:tc>
          <w:tcPr>
            <w:tcW w:type="dxa" w:w="3671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审查说明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lot_id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WIP 批次识别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用于批次追踪与去重。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product_id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WIP 所属产品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连接产品路径。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current_step_seq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当前工序位置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决定剩余工艺负荷。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wafer_count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WIP 数量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用于剩余负荷与出货口径计算。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percent_complete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完成比例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用于估算剩余负荷。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lot_status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批次状态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RUN、WAIT、HOLD 等状态影响时间偏移。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good_wafer_count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良片数量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用于输出与良率口径。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wait_hours_so_far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已等待时间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用于排队与滞留分析。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remaining_wait_hours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剩余等待时间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 WIP 负荷时间偏移。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hold_release_date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HOLD 释放日期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正式排程场景需要。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input_week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入站周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C 可选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用于追溯和周期分析。</w:t>
            </w:r>
          </w:p>
        </w:tc>
      </w:tr>
    </w:tbl>
    <w:p/>
    <w:p>
      <w:pPr>
        <w:pStyle w:val="Heading2"/>
      </w:pPr>
      <w:r>
        <w:t>tool_master：单台设备主数据，复杂 Path 场景使用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280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主要用途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必要性</w:t>
            </w:r>
          </w:p>
        </w:tc>
        <w:tc>
          <w:tcPr>
            <w:tcW w:type="dxa" w:w="3671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审查说明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tool_id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单机主键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复杂 Path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用于单机能力与备机关系。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tool_group_id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所属设备组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复杂 Path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连接单机与设备组。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tool_name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设备名称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C 可选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主要用于展示。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设备状态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应进一步用于过滤 DOWN / PM 设备产能。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uptime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单机可用率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复杂 Path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用于计算单机可用小时。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loss_time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损失时间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复杂 Path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用于扣减实际可用产能。</w:t>
            </w:r>
          </w:p>
        </w:tc>
      </w:tr>
    </w:tbl>
    <w:p/>
    <w:p>
      <w:pPr>
        <w:pStyle w:val="Heading2"/>
      </w:pPr>
      <w:r>
        <w:t>process_master：工序主数据，复杂 Path 场景使用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280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主要用途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必要性</w:t>
            </w:r>
          </w:p>
        </w:tc>
        <w:tc>
          <w:tcPr>
            <w:tcW w:type="dxa" w:w="3671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审查说明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process_id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工序主键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复杂 Path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连接能力矩阵与备机规则。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process_name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工序名称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C 可选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用于展示和业务解释。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process_seq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工序顺序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复杂 Path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用于排序与路径判断。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area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工艺区域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C 可选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用于区域展示。</w:t>
            </w:r>
          </w:p>
        </w:tc>
      </w:tr>
    </w:tbl>
    <w:p/>
    <w:p>
      <w:pPr>
        <w:pStyle w:val="Heading2"/>
      </w:pPr>
      <w:r>
        <w:t>tool_process_capability：产品-工序-设备能力矩阵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280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主要用途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必要性</w:t>
            </w:r>
          </w:p>
        </w:tc>
        <w:tc>
          <w:tcPr>
            <w:tcW w:type="dxa" w:w="3671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审查说明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product_id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产品维度能力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复杂 Path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判断某产品能否在某设备加工。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process_id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工序维度能力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复杂 Path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连接工序。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tool_id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设备维度能力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复杂 Path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连接单机能力。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can_run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是否可加工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复杂 Path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决定可行 Path。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run_time_hr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加工时间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复杂 Path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用于单机负荷折算。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batch_size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批量大小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复杂 Path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用于批量折算。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path_type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路径类型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C 可选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当前主要用于展示与治理。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visit_count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重复进站次数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支持存储制造重入路径。</w:t>
            </w:r>
          </w:p>
        </w:tc>
      </w:tr>
    </w:tbl>
    <w:p/>
    <w:p>
      <w:pPr>
        <w:pStyle w:val="Heading2"/>
      </w:pPr>
      <w:r>
        <w:t>backup_path：备机与替代路径规则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2808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主要用途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必要性</w:t>
            </w:r>
          </w:p>
        </w:tc>
        <w:tc>
          <w:tcPr>
            <w:tcW w:type="dxa" w:w="3671"/>
            <w:vAlign w:val="center"/>
            <w:shd w:fill="E8EEF5"/>
          </w:tcPr>
          <w:p>
            <w:pPr>
              <w:spacing w:after="0" w:line="264" w:lineRule="auto"/>
              <w:jc w:val="left"/>
            </w:pPr>
            <w:r/>
            <w:r>
              <w:rPr>
                <w:b/>
                <w:color w:val="0B2545"/>
                <w:sz w:val="19"/>
              </w:rPr>
              <w:t>审查说明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primary_tool_id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主设备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复杂 Path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定义被替代设备。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backup_tool_id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备机设备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复杂 Path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定义可替代设备。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process_id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适用工序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A 复杂 Path 必填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备机通常按工序限定。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enable_rule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启用规则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B 建议保留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建议后续算法解释规则，如主机满载、主机停机等。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switch_cost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切换成本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C 当前可选</w:t>
            </w:r>
          </w:p>
        </w:tc>
        <w:tc>
          <w:tcPr>
            <w:tcW w:type="dxa" w:w="2484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b w:val="0"/>
                <w:sz w:val="19"/>
              </w:rPr>
              <w:t>当前可作为未来优化目标或惩罚项。</w:t>
            </w:r>
          </w:p>
        </w:tc>
      </w:tr>
    </w:tbl>
    <w:p/>
    <w:p>
      <w:pPr>
        <w:pStyle w:val="Heading1"/>
      </w:pPr>
      <w:r>
        <w:t>4. 当前模板与算法匹配问题</w:t>
      </w:r>
    </w:p>
    <w:p>
      <w:pPr>
        <w:pStyle w:val="ListBullet"/>
      </w:pPr>
      <w:r>
        <w:t>demand_plan 中 plan_version、release_status 当前更偏治理字段，但若目标是 R6 正式投片承诺，应继续保留。</w:t>
      </w:r>
    </w:p>
    <w:p>
      <w:pPr>
        <w:pStyle w:val="ListBullet"/>
      </w:pPr>
      <w:r>
        <w:t>tool_master.status 当前建议从展示字段升级为算法字段，用于扣除 DOWN、PM 或不可用设备产能。</w:t>
      </w:r>
    </w:p>
    <w:p>
      <w:pPr>
        <w:pStyle w:val="ListBullet"/>
      </w:pPr>
      <w:r>
        <w:t>backup_path.enable_rule 与 switch_cost 当前更像预留字段，后续应进入优化器，否则前端应标注为“可选 / 暂不参与计算”。</w:t>
      </w:r>
    </w:p>
    <w:p>
      <w:pPr>
        <w:pStyle w:val="ListBullet"/>
      </w:pPr>
      <w:r>
        <w:t>oee 中 available_hours 是产能约束的优先字段；availability、performance、quality、oee 应作为补充解释或缺失时的折算依据。</w:t>
      </w:r>
    </w:p>
    <w:p>
      <w:pPr>
        <w:pStyle w:val="ListBullet"/>
      </w:pPr>
      <w:r>
        <w:t>route_master 与 tool_process_capability 不建议直接合并，前者面向设备组级 RCCP，后者面向单机级复杂 Path 和备机能力。</w:t>
      </w:r>
    </w:p>
    <w:p>
      <w:pPr>
        <w:pStyle w:val="Heading1"/>
      </w:pPr>
      <w:r>
        <w:t>5. 后续优化建议</w:t>
      </w:r>
    </w:p>
    <w:p>
      <w:pPr>
        <w:pStyle w:val="ListBullet"/>
      </w:pPr>
      <w:r>
        <w:t>前端导入区按标准版 / 正式决策版展示必填 Sheet，降低业务方首次导入压力。</w:t>
      </w:r>
    </w:p>
    <w:p>
      <w:pPr>
        <w:pStyle w:val="ListBullet"/>
      </w:pPr>
      <w:r>
        <w:t>字段字典中增加“是否参与当前算法计算”列，避免业务误以为所有字段都会影响结果。</w:t>
      </w:r>
    </w:p>
    <w:p>
      <w:pPr>
        <w:pStyle w:val="ListBullet"/>
      </w:pPr>
      <w:r>
        <w:t>导入校验区给出缺字段、空值、类型错误、跨 Sheet 主键不匹配等可操作提示。</w:t>
      </w:r>
    </w:p>
    <w:p>
      <w:pPr>
        <w:pStyle w:val="ListBullet"/>
      </w:pPr>
      <w:r>
        <w:t>算法侧补齐 is_active、tool status、backup enable_rule、switch_cost 的消费逻辑，确保模板字段与正式决策能力一致。</w:t>
      </w:r>
    </w:p>
    <w:p>
      <w:pPr>
        <w:pStyle w:val="ListBullet"/>
      </w:pPr>
      <w:r>
        <w:t>保留复杂 Path 四张表的整体一致性校验：只要导入其中一张，就要求四张均完整导入，避免半套复杂路径数据导致误判。</w:t>
      </w:r>
    </w:p>
    <w:p>
      <w:pPr>
        <w:sectPr>
          <w:footerReference w:type="default" r:id="rId9"/>
          <w:pgSz w:w="12240" w:h="15840"/>
          <w:pgMar w:top="1152" w:right="1152" w:bottom="1080" w:left="1152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Capacity Agent | Excel 模板字段审查说明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