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iberation Sans" w:hAnsi="Liberation Sans"/>
          <w:b/>
          <w:color w:val="1F4E79"/>
          <w:sz w:val="46"/>
          <w:lang w:val="en-US" w:eastAsia="en-US"/>
        </w:rPr>
        <w:t>Business Travel and Accommodation Policy</w:t>
      </w:r>
    </w:p>
    <w:p>
      <w:pPr>
        <w:pStyle w:val="Subtitle"/>
      </w:pPr>
      <w:r>
        <w:rPr>
          <w:rFonts w:ascii="Liberation Sans" w:hAnsi="Liberation Sans"/>
          <w:b w:val="0"/>
          <w:color w:val="2F7D8C"/>
          <w:sz w:val="23"/>
          <w:lang w:val="en-US" w:eastAsia="en-US"/>
        </w:rPr>
        <w:t>Planning, approving, and reimbursing domestic and international business travel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9D9D5"/>
          <w:left w:val="single" w:sz="7" w:space="0" w:color="B9D9D5"/>
          <w:bottom w:val="single" w:sz="7" w:space="0" w:color="B9D9D5"/>
          <w:right w:val="single" w:sz="7" w:space="0" w:color="B9D9D5"/>
          <w:insideH w:val="single" w:sz="7" w:space="0" w:color="B9D9D5"/>
          <w:insideV w:val="single" w:sz="7" w:space="0" w:color="B9D9D5"/>
        </w:tblBorders>
      </w:tblPr>
      <w:tblGrid>
        <w:gridCol w:w="9648"/>
      </w:tblGrid>
      <w:tr>
        <w:tc>
          <w:tcPr>
            <w:tcW w:type="dxa" w:w="10166"/>
            <w:shd w:fill="E8F4F3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F7D8C"/>
                <w:sz w:val="18"/>
                <w:lang w:val="en-US" w:eastAsia="en-US"/>
              </w:rPr>
              <w:t>Sample document for educational purposes.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Document ID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POL-TRV-002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Version / effective date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1.0 / 1 January 2026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Document owner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Operations and Finance Department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Topic tags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business travel, accommodation, taxi, air travel, train, meals, foreign currency, daily allowance</w:t>
            </w:r>
          </w:p>
        </w:tc>
      </w:tr>
    </w:tbl>
    <w:p>
      <w:pPr>
        <w:pStyle w:val="Heading1"/>
        <w:keepNext/>
        <w:keepLines/>
      </w:pPr>
      <w:r>
        <w:rPr>
          <w:lang w:val="en-US" w:eastAsia="en-US"/>
        </w:rPr>
        <w:t>1. Definition and approval of a business trip</w:t>
      </w:r>
    </w:p>
    <w:p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 business trip is travel to a location other than the normal place of work for a documented business purpose. The line manager must approve the trip before booking. An international trip or an estimated total cost above HUF 150,000 also requires approval from the department head.</w:t>
      </w:r>
    </w:p>
    <w:p>
      <w:pPr>
        <w:pStyle w:val="Heading1"/>
        <w:keepNext/>
        <w:keepLines/>
      </w:pPr>
      <w:r>
        <w:rPr>
          <w:lang w:val="en-US" w:eastAsia="en-US"/>
        </w:rPr>
        <w:t>2. Modes of transport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Transport</w:t>
            </w:r>
          </w:p>
        </w:tc>
        <w:tc>
          <w:tcPr>
            <w:tcW w:type="dxa" w:w="259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Standard rule</w:t>
            </w:r>
          </w:p>
        </w:tc>
        <w:tc>
          <w:tcPr>
            <w:tcW w:type="dxa" w:w="518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Condition for an exception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Train</w:t>
            </w:r>
          </w:p>
        </w:tc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second class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first class for journeys exceeding three hours with managerial approval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Air travel</w:t>
            </w:r>
          </w:p>
        </w:tc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economy class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business class is not reimbursable under the prototype rules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Taxi</w:t>
            </w:r>
          </w:p>
        </w:tc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only where justified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after 22:00, when public transport is unavailable, or when transporting heavy equipment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Rental car</w:t>
            </w:r>
          </w:p>
        </w:tc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mid-range category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a larger vehicle only where justified by passenger numbers or equipment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Personal vehicle</w:t>
            </w:r>
          </w:p>
        </w:tc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with prior approval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with mileage reimbursement under POL-CAR-004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lang w:val="en-US" w:eastAsia="en-US"/>
        </w:rPr>
        <w:t>3. Accommodation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44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Trip type</w:t>
            </w:r>
          </w:p>
        </w:tc>
        <w:tc>
          <w:tcPr>
            <w:tcW w:type="dxa" w:w="288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Limit per night</w:t>
            </w:r>
          </w:p>
        </w:tc>
        <w:tc>
          <w:tcPr>
            <w:tcW w:type="dxa" w:w="432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Domestic trip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45,000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standard room including breakfast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International trip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an amount equivalent to HUF 55,000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local taxes may be reimbursed separately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Peak-price period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limit plus up to 20%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with prior approval from the department head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 standard-category single room may be booked.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Hotel breakfast may be reimbursed if included in the room rate or listed separately up to HUF 7,000.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Minibar charges, films, wellness treatments, and companion surcharges are not reimbursable.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An early check-in or late check-out surcharge may be reimbursed only when justified by the business schedule.</w:t>
      </w:r>
    </w:p>
    <w:p>
      <w:pPr>
        <w:pStyle w:val="Heading1"/>
        <w:keepNext/>
        <w:keepLines/>
      </w:pPr>
      <w:r>
        <w:rPr>
          <w:lang w:val="en-US" w:eastAsia="en-US"/>
        </w:rPr>
        <w:t>4. Meals and daily allowance</w:t>
      </w:r>
    </w:p>
    <w:p>
      <w:r>
        <w:rPr>
          <w:rFonts w:ascii="Liberation Sans" w:hAnsi="Liberation Sans"/>
          <w:b w:val="0"/>
          <w:color w:val="263238"/>
          <w:sz w:val="20"/>
          <w:lang w:val="en-US" w:eastAsia="en-US"/>
        </w:rPr>
        <w:t>During a business trip, an employee may claim meal expenses within the following daily limits. The limit is not an automatic allowance: only actual expenses supported by documents may be reimbursed.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44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Trip type</w:t>
            </w:r>
          </w:p>
        </w:tc>
        <w:tc>
          <w:tcPr>
            <w:tcW w:type="dxa" w:w="302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Daily meal limit</w:t>
            </w:r>
          </w:p>
        </w:tc>
        <w:tc>
          <w:tcPr>
            <w:tcW w:type="dxa" w:w="417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Reduction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Domestic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18,000 per day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reduced by HUF 3,000 when breakfast is included in the accommodation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International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30,000 per day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reduced by HUF 5,000 when breakfast is included in the accommodation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 w:val="0"/>
          <w:color w:val="263238"/>
          <w:sz w:val="20"/>
          <w:lang w:val="en-US" w:eastAsia="en-US"/>
        </w:rPr>
        <w:t>For a meal shared with a client, the business-meal rules in POL-EXP-001 apply, and the daily meal allowance may not be claimed for the same meal.</w:t>
      </w:r>
    </w:p>
    <w:p>
      <w:pPr>
        <w:pStyle w:val="Heading1"/>
        <w:keepNext/>
        <w:keepLines/>
      </w:pPr>
      <w:r>
        <w:rPr>
          <w:lang w:val="en-US" w:eastAsia="en-US"/>
        </w:rPr>
        <w:t>5. Expenses incurred in foreign currency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For card payments, the amount in Hungarian forints shown on the bank statement is the basis of reimbursement.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For cash payments, the internal exchange rate recorded in the finance system for the transaction date must be used.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employee must attach the original supporting document and, where necessary, a brief explanation in Hungarian or English.</w:t>
      </w:r>
    </w:p>
    <w:p>
      <w:pPr>
        <w:pStyle w:val="Heading1"/>
        <w:keepNext/>
        <w:keepLines/>
      </w:pPr>
      <w:r>
        <w:rPr>
          <w:lang w:val="en-US" w:eastAsia="en-US"/>
        </w:rPr>
        <w:t>6. Changes and cancellations</w:t>
      </w:r>
    </w:p>
    <w:p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employee must cancel any booking that is no longer required as soon as possible. An avoidable cancellation fee resulting from a failure to act is not reimbursable. A change fee incurred for business reasons may be reimbursed with confirmation from the manager.</w:t>
      </w:r>
    </w:p>
    <w:p>
      <w:pPr>
        <w:pStyle w:val="Heading1"/>
        <w:keepNext/>
        <w:keepLines/>
      </w:pPr>
      <w:r>
        <w:rPr>
          <w:lang w:val="en-US" w:eastAsia="en-US"/>
        </w:rPr>
        <w:t>7. Required documents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approved travel request;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ticket, boarding pass, or booking confirmation;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hotel invoice;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taxi and local transport receipts;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description of the business purpose and the client or event visited;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for foreign-currency expenses, exchange-rate evidence or the relevant section of a bank statement;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3C77B"/>
          <w:left w:val="single" w:sz="8" w:space="0" w:color="E3C77B"/>
          <w:bottom w:val="single" w:sz="8" w:space="0" w:color="E3C77B"/>
          <w:right w:val="single" w:sz="8" w:space="0" w:color="E3C77B"/>
          <w:insideH w:val="single" w:sz="8" w:space="0" w:color="E3C77B"/>
          <w:insideV w:val="single" w:sz="8" w:space="0" w:color="E3C77B"/>
        </w:tblBorders>
      </w:tblPr>
      <w:tblGrid>
        <w:gridCol w:w="10166"/>
      </w:tblGrid>
      <w:tr>
        <w:tc>
          <w:tcPr>
            <w:tcW w:type="dxa" w:w="10166"/>
            <w:shd w:fill="FFF4D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8A5A00"/>
                <w:sz w:val="20"/>
                <w:lang w:val="en-US" w:eastAsia="en-US"/>
              </w:rPr>
              <w:t>Edge case</w:t>
            </w:r>
          </w:p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9"/>
                <w:lang w:val="en-US" w:eastAsia="en-US"/>
              </w:rPr>
              <w:t>If an employee extends a trip over the weekend for private purposes, the organization reimburses no more than the travel and accommodation cost of the original business itinerary. The employee bears any additional cost.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B7378"/>
        <w:sz w:val="16"/>
        <w:lang w:val="en-US" w:eastAsia="en-US"/>
      </w:rPr>
      <w:t>Sample document for educational purposes.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Liberation Sans" w:hAnsi="Liberation San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F7D8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Travel and Accommodation Policy</dc:title>
  <dc:subject>Educational RAG source document</dc:subject>
  <dc:creator/>
  <cp:keywords>RAG, expense reimbursement, employee benefits, educational prototype</cp:keywords>
  <dc:description>Fictional educational document; no real organization is identified.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