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Liberation Sans" w:hAnsi="Liberation Sans"/>
          <w:b/>
          <w:color w:val="1F4E79"/>
          <w:sz w:val="46"/>
          <w:lang w:val="en-US" w:eastAsia="en-US"/>
        </w:rPr>
        <w:t>Commuting Support Policy</w:t>
      </w:r>
    </w:p>
    <w:p>
      <w:pPr>
        <w:pStyle w:val="Subtitle"/>
      </w:pPr>
      <w:r>
        <w:rPr>
          <w:rFonts w:ascii="Liberation Sans" w:hAnsi="Liberation Sans"/>
          <w:b w:val="0"/>
          <w:color w:val="2F7D8C"/>
          <w:sz w:val="23"/>
          <w:lang w:val="en-US" w:eastAsia="en-US"/>
        </w:rPr>
        <w:t>Support for regular commuting by public transport or personal vehicle</w:t>
      </w:r>
    </w:p>
    <w:tbl>
      <w:tblPr>
        <w:tblW w:type="auto" w:w="0"/>
        <w:jc w:val="center"/>
        <w:tblLayout w:type="fixed"/>
        <w:tblLook w:firstColumn="1" w:firstRow="1" w:lastColumn="0" w:lastRow="0" w:noHBand="0" w:noVBand="1" w:val="04A0"/>
        <w:tblBorders>
          <w:top w:val="single" w:sz="7" w:space="0" w:color="B9D9D5"/>
          <w:left w:val="single" w:sz="7" w:space="0" w:color="B9D9D5"/>
          <w:bottom w:val="single" w:sz="7" w:space="0" w:color="B9D9D5"/>
          <w:right w:val="single" w:sz="7" w:space="0" w:color="B9D9D5"/>
          <w:insideH w:val="single" w:sz="7" w:space="0" w:color="B9D9D5"/>
          <w:insideV w:val="single" w:sz="7" w:space="0" w:color="B9D9D5"/>
        </w:tblBorders>
      </w:tblPr>
      <w:tblGrid>
        <w:gridCol w:w="9648"/>
      </w:tblGrid>
      <w:tr>
        <w:tc>
          <w:tcPr>
            <w:tcW w:type="dxa" w:w="10166"/>
            <w:shd w:fill="E8F4F3"/>
            <w:tcMar>
              <w:top w:w="95" w:type="dxa"/>
              <w:start w:w="145" w:type="dxa"/>
              <w:bottom w:w="95" w:type="dxa"/>
              <w:end w:w="145" w:type="dxa"/>
            </w:tcMar>
          </w:tcPr>
          <w:p>
            <w:pPr>
              <w:jc w:val="center"/>
            </w:pPr>
            <w:r>
              <w:rPr>
                <w:rFonts w:ascii="Liberation Sans" w:hAnsi="Liberation Sans"/>
                <w:b/>
                <w:color w:val="2F7D8C"/>
                <w:sz w:val="18"/>
                <w:lang w:val="en-US" w:eastAsia="en-US"/>
              </w:rPr>
              <w:t>Sample document for educational purposes.</w:t>
            </w:r>
          </w:p>
        </w:tc>
      </w:tr>
    </w:tbl>
    <w:p>
      <w:pPr>
        <w:spacing w:after="0"/>
      </w:pPr>
    </w:p>
    <w:tbl>
      <w:tblPr>
        <w:tblW w:type="auto" w:w="0"/>
        <w:jc w:val="center"/>
        <w:tblLayout w:type="fixed"/>
        <w:tblLook w:firstColumn="1" w:firstRow="1" w:lastColumn="0" w:lastRow="0" w:noHBand="0" w:noVBand="1" w:val="04A0"/>
        <w:tblBorders>
          <w:top w:val="single" w:sz="5" w:space="0" w:color="C7D1D8"/>
          <w:left w:val="single" w:sz="5" w:space="0" w:color="C7D1D8"/>
          <w:bottom w:val="single" w:sz="5" w:space="0" w:color="C7D1D8"/>
          <w:right w:val="single" w:sz="5" w:space="0" w:color="C7D1D8"/>
          <w:insideH w:val="single" w:sz="5" w:space="0" w:color="C7D1D8"/>
          <w:insideV w:val="single" w:sz="5" w:space="0" w:color="C7D1D8"/>
        </w:tblBorders>
      </w:tblPr>
      <w:tblGrid>
        <w:gridCol w:w="5083"/>
        <w:gridCol w:w="5083"/>
      </w:tblGrid>
      <w:tr>
        <w:tc>
          <w:tcPr>
            <w:tcW w:type="dxa" w:w="2376"/>
            <w:tcMar>
              <w:top w:w="85" w:type="dxa"/>
              <w:start w:w="110" w:type="dxa"/>
              <w:bottom w:w="85" w:type="dxa"/>
              <w:end w:w="110" w:type="dxa"/>
            </w:tcMar>
            <w:vAlign w:val="center"/>
            <w:shd w:fill="EAF2F8"/>
          </w:tcPr>
          <w:p>
            <w:pPr>
              <w:spacing w:after="0"/>
            </w:pPr>
            <w:r>
              <w:rPr>
                <w:rFonts w:ascii="Liberation Sans" w:hAnsi="Liberation Sans"/>
                <w:b/>
                <w:color w:val="1F4E79"/>
                <w:sz w:val="18"/>
                <w:lang w:val="en-US" w:eastAsia="en-US"/>
              </w:rPr>
              <w:t>Document ID</w:t>
            </w:r>
          </w:p>
        </w:tc>
        <w:tc>
          <w:tcPr>
            <w:tcW w:type="dxa" w:w="7272"/>
            <w:tcMar>
              <w:top w:w="85" w:type="dxa"/>
              <w:start w:w="110" w:type="dxa"/>
              <w:bottom w:w="85" w:type="dxa"/>
              <w:end w:w="110" w:type="dxa"/>
            </w:tcMar>
            <w:vAlign w:val="center"/>
          </w:tcPr>
          <w:p>
            <w:pPr>
              <w:spacing w:after="0"/>
            </w:pPr>
            <w:r>
              <w:rPr>
                <w:rFonts w:ascii="Liberation Sans" w:hAnsi="Liberation Sans"/>
                <w:b w:val="0"/>
                <w:color w:val="263238"/>
                <w:sz w:val="18"/>
                <w:lang w:val="en-US" w:eastAsia="en-US"/>
              </w:rPr>
              <w:t>POL-COM-003</w:t>
            </w:r>
          </w:p>
        </w:tc>
      </w:tr>
      <w:tr>
        <w:tc>
          <w:tcPr>
            <w:tcW w:type="dxa" w:w="2376"/>
            <w:tcMar>
              <w:top w:w="85" w:type="dxa"/>
              <w:start w:w="110" w:type="dxa"/>
              <w:bottom w:w="85" w:type="dxa"/>
              <w:end w:w="110" w:type="dxa"/>
            </w:tcMar>
            <w:vAlign w:val="center"/>
            <w:shd w:fill="EAF2F8"/>
          </w:tcPr>
          <w:p>
            <w:pPr>
              <w:spacing w:after="0"/>
            </w:pPr>
            <w:r>
              <w:rPr>
                <w:rFonts w:ascii="Liberation Sans" w:hAnsi="Liberation Sans"/>
                <w:b/>
                <w:color w:val="1F4E79"/>
                <w:sz w:val="18"/>
                <w:lang w:val="en-US" w:eastAsia="en-US"/>
              </w:rPr>
              <w:t>Version / effective date</w:t>
            </w:r>
          </w:p>
        </w:tc>
        <w:tc>
          <w:tcPr>
            <w:tcW w:type="dxa" w:w="7272"/>
            <w:tcMar>
              <w:top w:w="85" w:type="dxa"/>
              <w:start w:w="110" w:type="dxa"/>
              <w:bottom w:w="85" w:type="dxa"/>
              <w:end w:w="110" w:type="dxa"/>
            </w:tcMar>
            <w:vAlign w:val="center"/>
          </w:tcPr>
          <w:p>
            <w:pPr>
              <w:spacing w:after="0"/>
            </w:pPr>
            <w:r>
              <w:rPr>
                <w:rFonts w:ascii="Liberation Sans" w:hAnsi="Liberation Sans"/>
                <w:b w:val="0"/>
                <w:color w:val="263238"/>
                <w:sz w:val="18"/>
                <w:lang w:val="en-US" w:eastAsia="en-US"/>
              </w:rPr>
              <w:t>1.0 / 1 January 2026</w:t>
            </w:r>
          </w:p>
        </w:tc>
      </w:tr>
      <w:tr>
        <w:tc>
          <w:tcPr>
            <w:tcW w:type="dxa" w:w="2376"/>
            <w:tcMar>
              <w:top w:w="85" w:type="dxa"/>
              <w:start w:w="110" w:type="dxa"/>
              <w:bottom w:w="85" w:type="dxa"/>
              <w:end w:w="110" w:type="dxa"/>
            </w:tcMar>
            <w:vAlign w:val="center"/>
            <w:shd w:fill="EAF2F8"/>
          </w:tcPr>
          <w:p>
            <w:pPr>
              <w:spacing w:after="0"/>
            </w:pPr>
            <w:r>
              <w:rPr>
                <w:rFonts w:ascii="Liberation Sans" w:hAnsi="Liberation Sans"/>
                <w:b/>
                <w:color w:val="1F4E79"/>
                <w:sz w:val="18"/>
                <w:lang w:val="en-US" w:eastAsia="en-US"/>
              </w:rPr>
              <w:t>Document owner</w:t>
            </w:r>
          </w:p>
        </w:tc>
        <w:tc>
          <w:tcPr>
            <w:tcW w:type="dxa" w:w="7272"/>
            <w:tcMar>
              <w:top w:w="85" w:type="dxa"/>
              <w:start w:w="110" w:type="dxa"/>
              <w:bottom w:w="85" w:type="dxa"/>
              <w:end w:w="110" w:type="dxa"/>
            </w:tcMar>
            <w:vAlign w:val="center"/>
          </w:tcPr>
          <w:p>
            <w:pPr>
              <w:spacing w:after="0"/>
            </w:pPr>
            <w:r>
              <w:rPr>
                <w:rFonts w:ascii="Liberation Sans" w:hAnsi="Liberation Sans"/>
                <w:b w:val="0"/>
                <w:color w:val="263238"/>
                <w:sz w:val="18"/>
                <w:lang w:val="en-US" w:eastAsia="en-US"/>
              </w:rPr>
              <w:t>HR Department</w:t>
            </w:r>
          </w:p>
        </w:tc>
      </w:tr>
      <w:tr>
        <w:tc>
          <w:tcPr>
            <w:tcW w:type="dxa" w:w="2376"/>
            <w:tcMar>
              <w:top w:w="85" w:type="dxa"/>
              <w:start w:w="110" w:type="dxa"/>
              <w:bottom w:w="85" w:type="dxa"/>
              <w:end w:w="110" w:type="dxa"/>
            </w:tcMar>
            <w:vAlign w:val="center"/>
            <w:shd w:fill="EAF2F8"/>
          </w:tcPr>
          <w:p>
            <w:pPr>
              <w:spacing w:after="0"/>
            </w:pPr>
            <w:r>
              <w:rPr>
                <w:rFonts w:ascii="Liberation Sans" w:hAnsi="Liberation Sans"/>
                <w:b/>
                <w:color w:val="1F4E79"/>
                <w:sz w:val="18"/>
                <w:lang w:val="en-US" w:eastAsia="en-US"/>
              </w:rPr>
              <w:t>Topic tags</w:t>
            </w:r>
          </w:p>
        </w:tc>
        <w:tc>
          <w:tcPr>
            <w:tcW w:type="dxa" w:w="7272"/>
            <w:tcMar>
              <w:top w:w="85" w:type="dxa"/>
              <w:start w:w="110" w:type="dxa"/>
              <w:bottom w:w="85" w:type="dxa"/>
              <w:end w:w="110" w:type="dxa"/>
            </w:tcMar>
            <w:vAlign w:val="center"/>
          </w:tcPr>
          <w:p>
            <w:pPr>
              <w:spacing w:after="0"/>
            </w:pPr>
            <w:r>
              <w:rPr>
                <w:rFonts w:ascii="Liberation Sans" w:hAnsi="Liberation Sans"/>
                <w:b w:val="0"/>
                <w:color w:val="263238"/>
                <w:sz w:val="18"/>
                <w:lang w:val="en-US" w:eastAsia="en-US"/>
              </w:rPr>
              <w:t>commuting, travel pass, mileage, hybrid work, residence, eligibility</w:t>
            </w:r>
          </w:p>
        </w:tc>
      </w:tr>
    </w:tbl>
    <w:p>
      <w:pPr>
        <w:pStyle w:val="Heading1"/>
        <w:keepNext/>
        <w:keepLines/>
      </w:pPr>
      <w:r>
        <w:rPr>
          <w:lang w:val="en-US" w:eastAsia="en-US"/>
        </w:rPr>
        <w:t>1. Purpose of the support</w:t>
      </w:r>
    </w:p>
    <w:p>
      <w:r>
        <w:rPr>
          <w:rFonts w:ascii="Liberation Sans" w:hAnsi="Liberation Sans"/>
          <w:b w:val="0"/>
          <w:color w:val="263238"/>
          <w:sz w:val="20"/>
          <w:lang w:val="en-US" w:eastAsia="en-US"/>
        </w:rPr>
        <w:t>The employer provides support for travel between the employee's registered home or residence and the normal place of work. The amounts in this policy are voluntary, fictional internal limits and must not be interpreted as statutory guidance.</w:t>
      </w:r>
    </w:p>
    <w:p>
      <w:pPr>
        <w:pStyle w:val="Heading1"/>
        <w:keepNext/>
        <w:keepLines/>
      </w:pPr>
      <w:r>
        <w:rPr>
          <w:lang w:val="en-US" w:eastAsia="en-US"/>
        </w:rPr>
        <w:t>2. Eligibility conditions</w:t>
      </w:r>
    </w:p>
    <w:p>
      <w:pPr>
        <w:pStyle w:val="ListBullet"/>
        <w:spacing w:after="60"/>
      </w:pPr>
      <w:r>
        <w:rPr>
          <w:rFonts w:ascii="Liberation Sans" w:hAnsi="Liberation Sans"/>
          <w:b w:val="0"/>
          <w:color w:val="263238"/>
          <w:sz w:val="20"/>
          <w:lang w:val="en-US" w:eastAsia="en-US"/>
        </w:rPr>
        <w:t>an active employment relationship and a recorded place of work;</w:t>
      </w:r>
    </w:p>
    <w:p>
      <w:pPr>
        <w:pStyle w:val="ListBullet"/>
        <w:spacing w:after="60"/>
      </w:pPr>
      <w:r>
        <w:rPr>
          <w:rFonts w:ascii="Liberation Sans" w:hAnsi="Liberation Sans"/>
          <w:b w:val="0"/>
          <w:color w:val="263238"/>
          <w:sz w:val="20"/>
          <w:lang w:val="en-US" w:eastAsia="en-US"/>
        </w:rPr>
        <w:t>registration of the home or residence address in the HR system;</w:t>
      </w:r>
    </w:p>
    <w:p>
      <w:pPr>
        <w:pStyle w:val="ListBullet"/>
        <w:spacing w:after="60"/>
      </w:pPr>
      <w:r>
        <w:rPr>
          <w:rFonts w:ascii="Liberation Sans" w:hAnsi="Liberation Sans"/>
          <w:b w:val="0"/>
          <w:color w:val="263238"/>
          <w:sz w:val="20"/>
          <w:lang w:val="en-US" w:eastAsia="en-US"/>
        </w:rPr>
        <w:t>a declaration of the selected mode of transport and route;</w:t>
      </w:r>
    </w:p>
    <w:p>
      <w:pPr>
        <w:pStyle w:val="ListBullet"/>
        <w:spacing w:after="60"/>
      </w:pPr>
      <w:r>
        <w:rPr>
          <w:rFonts w:ascii="Liberation Sans" w:hAnsi="Liberation Sans"/>
          <w:b w:val="0"/>
          <w:color w:val="263238"/>
          <w:sz w:val="20"/>
          <w:lang w:val="en-US" w:eastAsia="en-US"/>
        </w:rPr>
        <w:t>support may be claimed only for actual office workdays or a valid travel-pass period;</w:t>
      </w:r>
    </w:p>
    <w:p>
      <w:pPr>
        <w:pStyle w:val="ListBullet"/>
        <w:spacing w:after="60"/>
      </w:pPr>
      <w:r>
        <w:rPr>
          <w:rFonts w:ascii="Liberation Sans" w:hAnsi="Liberation Sans"/>
          <w:b w:val="0"/>
          <w:color w:val="263238"/>
          <w:sz w:val="20"/>
          <w:lang w:val="en-US" w:eastAsia="en-US"/>
        </w:rPr>
        <w:t>no commuting support is available for fully remote work;</w:t>
      </w:r>
    </w:p>
    <w:p>
      <w:pPr>
        <w:pStyle w:val="Heading1"/>
        <w:keepNext/>
        <w:keepLines/>
      </w:pPr>
      <w:r>
        <w:rPr>
          <w:lang w:val="en-US" w:eastAsia="en-US"/>
        </w:rPr>
        <w:t>3. Public transport passes and tickets</w:t>
      </w:r>
    </w:p>
    <w:tbl>
      <w:tblPr>
        <w:tblW w:type="auto" w:w="0"/>
        <w:jc w:val="center"/>
        <w:tblLayout w:type="fixed"/>
        <w:tblLook w:firstColumn="1" w:firstRow="1" w:lastColumn="0" w:lastRow="0" w:noHBand="0" w:noVBand="1" w:val="04A0"/>
        <w:tblBorders>
          <w:top w:val="single" w:sz="5" w:space="0" w:color="C7D1D8"/>
          <w:left w:val="single" w:sz="5" w:space="0" w:color="C7D1D8"/>
          <w:bottom w:val="single" w:sz="5" w:space="0" w:color="C7D1D8"/>
          <w:right w:val="single" w:sz="5" w:space="0" w:color="C7D1D8"/>
          <w:insideH w:val="single" w:sz="5" w:space="0" w:color="C7D1D8"/>
          <w:insideV w:val="single" w:sz="5" w:space="0" w:color="C7D1D8"/>
        </w:tblBorders>
      </w:tblPr>
      <w:tblGrid>
        <w:gridCol w:w="2541"/>
        <w:gridCol w:w="2541"/>
        <w:gridCol w:w="2541"/>
        <w:gridCol w:w="2541"/>
      </w:tblGrid>
      <w:tr>
        <w:trPr>
          <w:tblHeader w:val="true"/>
          <w:cantSplit w:val="true"/>
        </w:trPr>
        <w:tc>
          <w:tcPr>
            <w:tcW w:type="dxa" w:w="2448"/>
            <w:shd w:fill="1F4E79"/>
            <w:tcMar>
              <w:top w:w="120" w:type="dxa"/>
              <w:start w:w="130" w:type="dxa"/>
              <w:bottom w:w="120" w:type="dxa"/>
              <w:end w:w="130" w:type="dxa"/>
            </w:tcMar>
            <w:vAlign w:val="center"/>
          </w:tcPr>
          <w:p>
            <w:pPr>
              <w:spacing w:after="0"/>
              <w:jc w:val="center"/>
            </w:pPr>
            <w:r>
              <w:rPr>
                <w:rFonts w:ascii="Liberation Sans" w:hAnsi="Liberation Sans"/>
                <w:b/>
                <w:color w:val="FFFFFF"/>
                <w:sz w:val="17"/>
                <w:lang w:val="en-US" w:eastAsia="en-US"/>
              </w:rPr>
              <w:t>Support</w:t>
            </w:r>
          </w:p>
        </w:tc>
        <w:tc>
          <w:tcPr>
            <w:tcW w:type="dxa" w:w="1944"/>
            <w:shd w:fill="1F4E79"/>
            <w:tcMar>
              <w:top w:w="120" w:type="dxa"/>
              <w:start w:w="130" w:type="dxa"/>
              <w:bottom w:w="120" w:type="dxa"/>
              <w:end w:w="130" w:type="dxa"/>
            </w:tcMar>
            <w:vAlign w:val="center"/>
          </w:tcPr>
          <w:p>
            <w:pPr>
              <w:spacing w:after="0"/>
              <w:jc w:val="center"/>
            </w:pPr>
            <w:r>
              <w:rPr>
                <w:rFonts w:ascii="Liberation Sans" w:hAnsi="Liberation Sans"/>
                <w:b/>
                <w:color w:val="FFFFFF"/>
                <w:sz w:val="17"/>
                <w:lang w:val="en-US" w:eastAsia="en-US"/>
              </w:rPr>
              <w:t>Rate</w:t>
            </w:r>
          </w:p>
        </w:tc>
        <w:tc>
          <w:tcPr>
            <w:tcW w:type="dxa" w:w="2016"/>
            <w:shd w:fill="1F4E79"/>
            <w:tcMar>
              <w:top w:w="120" w:type="dxa"/>
              <w:start w:w="130" w:type="dxa"/>
              <w:bottom w:w="120" w:type="dxa"/>
              <w:end w:w="130" w:type="dxa"/>
            </w:tcMar>
            <w:vAlign w:val="center"/>
          </w:tcPr>
          <w:p>
            <w:pPr>
              <w:spacing w:after="0"/>
              <w:jc w:val="center"/>
            </w:pPr>
            <w:r>
              <w:rPr>
                <w:rFonts w:ascii="Liberation Sans" w:hAnsi="Liberation Sans"/>
                <w:b/>
                <w:color w:val="FFFFFF"/>
                <w:sz w:val="17"/>
                <w:lang w:val="en-US" w:eastAsia="en-US"/>
              </w:rPr>
              <w:t>Maximum</w:t>
            </w:r>
          </w:p>
        </w:tc>
        <w:tc>
          <w:tcPr>
            <w:tcW w:type="dxa" w:w="3168"/>
            <w:shd w:fill="1F4E79"/>
            <w:tcMar>
              <w:top w:w="120" w:type="dxa"/>
              <w:start w:w="130" w:type="dxa"/>
              <w:bottom w:w="120" w:type="dxa"/>
              <w:end w:w="130" w:type="dxa"/>
            </w:tcMar>
            <w:vAlign w:val="center"/>
          </w:tcPr>
          <w:p>
            <w:pPr>
              <w:spacing w:after="0"/>
              <w:jc w:val="center"/>
            </w:pPr>
            <w:r>
              <w:rPr>
                <w:rFonts w:ascii="Liberation Sans" w:hAnsi="Liberation Sans"/>
                <w:b/>
                <w:color w:val="FFFFFF"/>
                <w:sz w:val="17"/>
                <w:lang w:val="en-US" w:eastAsia="en-US"/>
              </w:rPr>
              <w:t>Evidence</w:t>
            </w:r>
          </w:p>
        </w:tc>
      </w:tr>
      <w:tr>
        <w:trPr>
          <w:cantSplit w:val="true"/>
        </w:trPr>
        <w:tc>
          <w:tcPr>
            <w:tcW w:type="dxa" w:w="2448"/>
            <w:tcMar>
              <w:top w:w="110" w:type="dxa"/>
              <w:start w:w="130" w:type="dxa"/>
              <w:bottom w:w="110" w:type="dxa"/>
              <w:end w:w="130" w:type="dxa"/>
            </w:tcMar>
            <w:vAlign w:val="center"/>
            <w:shd w:fill="FFFFFF"/>
          </w:tcPr>
          <w:p>
            <w:pPr>
              <w:spacing w:after="0"/>
            </w:pPr>
            <w:r>
              <w:rPr>
                <w:rFonts w:ascii="Liberation Sans" w:hAnsi="Liberation Sans"/>
                <w:b w:val="0"/>
                <w:color w:val="263238"/>
                <w:sz w:val="17"/>
                <w:lang w:val="en-US" w:eastAsia="en-US"/>
              </w:rPr>
              <w:t>Monthly or 30-day pass</w:t>
            </w:r>
          </w:p>
        </w:tc>
        <w:tc>
          <w:tcPr>
            <w:tcW w:type="dxa" w:w="1944"/>
            <w:tcMar>
              <w:top w:w="110" w:type="dxa"/>
              <w:start w:w="130" w:type="dxa"/>
              <w:bottom w:w="110" w:type="dxa"/>
              <w:end w:w="130" w:type="dxa"/>
            </w:tcMar>
            <w:vAlign w:val="center"/>
            <w:shd w:fill="FFFFFF"/>
          </w:tcPr>
          <w:p>
            <w:pPr>
              <w:spacing w:after="0"/>
              <w:jc w:val="center"/>
            </w:pPr>
            <w:r>
              <w:rPr>
                <w:rFonts w:ascii="Liberation Sans" w:hAnsi="Liberation Sans"/>
                <w:b w:val="0"/>
                <w:color w:val="263238"/>
                <w:sz w:val="17"/>
                <w:lang w:val="en-US" w:eastAsia="en-US"/>
              </w:rPr>
              <w:t>80% of the purchase price</w:t>
            </w:r>
          </w:p>
        </w:tc>
        <w:tc>
          <w:tcPr>
            <w:tcW w:type="dxa" w:w="2016"/>
            <w:tcMar>
              <w:top w:w="110" w:type="dxa"/>
              <w:start w:w="130" w:type="dxa"/>
              <w:bottom w:w="110" w:type="dxa"/>
              <w:end w:w="130" w:type="dxa"/>
            </w:tcMar>
            <w:vAlign w:val="center"/>
            <w:shd w:fill="FFFFFF"/>
          </w:tcPr>
          <w:p>
            <w:pPr>
              <w:spacing w:after="0"/>
              <w:jc w:val="center"/>
            </w:pPr>
            <w:r>
              <w:rPr>
                <w:rFonts w:ascii="Liberation Sans" w:hAnsi="Liberation Sans"/>
                <w:b w:val="0"/>
                <w:color w:val="263238"/>
                <w:sz w:val="17"/>
                <w:lang w:val="en-US" w:eastAsia="en-US"/>
              </w:rPr>
              <w:t>HUF 30,000 per month</w:t>
            </w:r>
          </w:p>
        </w:tc>
        <w:tc>
          <w:tcPr>
            <w:tcW w:type="dxa" w:w="3168"/>
            <w:tcMar>
              <w:top w:w="110" w:type="dxa"/>
              <w:start w:w="130" w:type="dxa"/>
              <w:bottom w:w="110" w:type="dxa"/>
              <w:end w:w="130" w:type="dxa"/>
            </w:tcMar>
            <w:vAlign w:val="center"/>
            <w:shd w:fill="FFFFFF"/>
          </w:tcPr>
          <w:p>
            <w:pPr>
              <w:spacing w:after="0"/>
            </w:pPr>
            <w:r>
              <w:rPr>
                <w:rFonts w:ascii="Liberation Sans" w:hAnsi="Liberation Sans"/>
                <w:b w:val="0"/>
                <w:color w:val="263238"/>
                <w:sz w:val="17"/>
                <w:lang w:val="en-US" w:eastAsia="en-US"/>
              </w:rPr>
              <w:t>personalized pass or invoice</w:t>
            </w:r>
          </w:p>
        </w:tc>
      </w:tr>
      <w:tr>
        <w:trPr>
          <w:cantSplit w:val="true"/>
        </w:trPr>
        <w:tc>
          <w:tcPr>
            <w:tcW w:type="dxa" w:w="2448"/>
            <w:tcMar>
              <w:top w:w="110" w:type="dxa"/>
              <w:start w:w="130" w:type="dxa"/>
              <w:bottom w:w="110" w:type="dxa"/>
              <w:end w:w="130" w:type="dxa"/>
            </w:tcMar>
            <w:vAlign w:val="center"/>
          </w:tcPr>
          <w:p>
            <w:pPr>
              <w:spacing w:after="0"/>
            </w:pPr>
            <w:r>
              <w:rPr>
                <w:rFonts w:ascii="Liberation Sans" w:hAnsi="Liberation Sans"/>
                <w:b w:val="0"/>
                <w:color w:val="263238"/>
                <w:sz w:val="17"/>
                <w:lang w:val="en-US" w:eastAsia="en-US"/>
              </w:rPr>
              <w:t>Individual ticket</w:t>
            </w:r>
          </w:p>
        </w:tc>
        <w:tc>
          <w:tcPr>
            <w:tcW w:type="dxa" w:w="1944"/>
            <w:tcMar>
              <w:top w:w="110" w:type="dxa"/>
              <w:start w:w="130" w:type="dxa"/>
              <w:bottom w:w="110" w:type="dxa"/>
              <w:end w:w="130" w:type="dxa"/>
            </w:tcMar>
            <w:vAlign w:val="center"/>
          </w:tcPr>
          <w:p>
            <w:pPr>
              <w:spacing w:after="0"/>
              <w:jc w:val="center"/>
            </w:pPr>
            <w:r>
              <w:rPr>
                <w:rFonts w:ascii="Liberation Sans" w:hAnsi="Liberation Sans"/>
                <w:b w:val="0"/>
                <w:color w:val="263238"/>
                <w:sz w:val="17"/>
                <w:lang w:val="en-US" w:eastAsia="en-US"/>
              </w:rPr>
              <w:t>80% of the purchase price</w:t>
            </w:r>
          </w:p>
        </w:tc>
        <w:tc>
          <w:tcPr>
            <w:tcW w:type="dxa" w:w="2016"/>
            <w:tcMar>
              <w:top w:w="110" w:type="dxa"/>
              <w:start w:w="130" w:type="dxa"/>
              <w:bottom w:w="110" w:type="dxa"/>
              <w:end w:w="130" w:type="dxa"/>
            </w:tcMar>
            <w:vAlign w:val="center"/>
          </w:tcPr>
          <w:p>
            <w:pPr>
              <w:spacing w:after="0"/>
              <w:jc w:val="center"/>
            </w:pPr>
            <w:r>
              <w:rPr>
                <w:rFonts w:ascii="Liberation Sans" w:hAnsi="Liberation Sans"/>
                <w:b w:val="0"/>
                <w:color w:val="263238"/>
                <w:sz w:val="17"/>
                <w:lang w:val="en-US" w:eastAsia="en-US"/>
              </w:rPr>
              <w:t>HUF 3,000 per office day</w:t>
            </w:r>
          </w:p>
        </w:tc>
        <w:tc>
          <w:tcPr>
            <w:tcW w:type="dxa" w:w="3168"/>
            <w:tcMar>
              <w:top w:w="110" w:type="dxa"/>
              <w:start w:w="130" w:type="dxa"/>
              <w:bottom w:w="110" w:type="dxa"/>
              <w:end w:w="130" w:type="dxa"/>
            </w:tcMar>
            <w:vAlign w:val="center"/>
          </w:tcPr>
          <w:p>
            <w:pPr>
              <w:spacing w:after="0"/>
            </w:pPr>
            <w:r>
              <w:rPr>
                <w:rFonts w:ascii="Liberation Sans" w:hAnsi="Liberation Sans"/>
                <w:b w:val="0"/>
                <w:color w:val="263238"/>
                <w:sz w:val="17"/>
                <w:lang w:val="en-US" w:eastAsia="en-US"/>
              </w:rPr>
              <w:t>ticket and attendance record</w:t>
            </w:r>
          </w:p>
        </w:tc>
      </w:tr>
      <w:tr>
        <w:trPr>
          <w:cantSplit w:val="true"/>
        </w:trPr>
        <w:tc>
          <w:tcPr>
            <w:tcW w:type="dxa" w:w="2448"/>
            <w:tcMar>
              <w:top w:w="110" w:type="dxa"/>
              <w:start w:w="130" w:type="dxa"/>
              <w:bottom w:w="110" w:type="dxa"/>
              <w:end w:w="130" w:type="dxa"/>
            </w:tcMar>
            <w:vAlign w:val="center"/>
            <w:shd w:fill="FFFFFF"/>
          </w:tcPr>
          <w:p>
            <w:pPr>
              <w:spacing w:after="0"/>
            </w:pPr>
            <w:r>
              <w:rPr>
                <w:rFonts w:ascii="Liberation Sans" w:hAnsi="Liberation Sans"/>
                <w:b w:val="0"/>
                <w:color w:val="263238"/>
                <w:sz w:val="17"/>
                <w:lang w:val="en-US" w:eastAsia="en-US"/>
              </w:rPr>
              <w:t>Combined local and regional pass</w:t>
            </w:r>
          </w:p>
        </w:tc>
        <w:tc>
          <w:tcPr>
            <w:tcW w:type="dxa" w:w="1944"/>
            <w:tcMar>
              <w:top w:w="110" w:type="dxa"/>
              <w:start w:w="130" w:type="dxa"/>
              <w:bottom w:w="110" w:type="dxa"/>
              <w:end w:w="130" w:type="dxa"/>
            </w:tcMar>
            <w:vAlign w:val="center"/>
            <w:shd w:fill="FFFFFF"/>
          </w:tcPr>
          <w:p>
            <w:pPr>
              <w:spacing w:after="0"/>
              <w:jc w:val="center"/>
            </w:pPr>
            <w:r>
              <w:rPr>
                <w:rFonts w:ascii="Liberation Sans" w:hAnsi="Liberation Sans"/>
                <w:b w:val="0"/>
                <w:color w:val="263238"/>
                <w:sz w:val="17"/>
                <w:lang w:val="en-US" w:eastAsia="en-US"/>
              </w:rPr>
              <w:t>80% in total</w:t>
            </w:r>
          </w:p>
        </w:tc>
        <w:tc>
          <w:tcPr>
            <w:tcW w:type="dxa" w:w="2016"/>
            <w:tcMar>
              <w:top w:w="110" w:type="dxa"/>
              <w:start w:w="130" w:type="dxa"/>
              <w:bottom w:w="110" w:type="dxa"/>
              <w:end w:w="130" w:type="dxa"/>
            </w:tcMar>
            <w:vAlign w:val="center"/>
            <w:shd w:fill="FFFFFF"/>
          </w:tcPr>
          <w:p>
            <w:pPr>
              <w:spacing w:after="0"/>
              <w:jc w:val="center"/>
            </w:pPr>
            <w:r>
              <w:rPr>
                <w:rFonts w:ascii="Liberation Sans" w:hAnsi="Liberation Sans"/>
                <w:b w:val="0"/>
                <w:color w:val="263238"/>
                <w:sz w:val="17"/>
                <w:lang w:val="en-US" w:eastAsia="en-US"/>
              </w:rPr>
              <w:t>HUF 35,000 per month</w:t>
            </w:r>
          </w:p>
        </w:tc>
        <w:tc>
          <w:tcPr>
            <w:tcW w:type="dxa" w:w="3168"/>
            <w:tcMar>
              <w:top w:w="110" w:type="dxa"/>
              <w:start w:w="130" w:type="dxa"/>
              <w:bottom w:w="110" w:type="dxa"/>
              <w:end w:w="130" w:type="dxa"/>
            </w:tcMar>
            <w:vAlign w:val="center"/>
            <w:shd w:fill="FFFFFF"/>
          </w:tcPr>
          <w:p>
            <w:pPr>
              <w:spacing w:after="0"/>
            </w:pPr>
            <w:r>
              <w:rPr>
                <w:rFonts w:ascii="Liberation Sans" w:hAnsi="Liberation Sans"/>
                <w:b w:val="0"/>
                <w:color w:val="263238"/>
                <w:sz w:val="17"/>
                <w:lang w:val="en-US" w:eastAsia="en-US"/>
              </w:rPr>
              <w:t>evidence of both passes</w:t>
            </w:r>
          </w:p>
        </w:tc>
      </w:tr>
    </w:tbl>
    <w:p>
      <w:pPr>
        <w:spacing w:after="20"/>
      </w:pPr>
    </w:p>
    <w:p>
      <w:r>
        <w:rPr>
          <w:rFonts w:ascii="Liberation Sans" w:hAnsi="Liberation Sans"/>
          <w:b w:val="0"/>
          <w:color w:val="263238"/>
          <w:sz w:val="20"/>
          <w:lang w:val="en-US" w:eastAsia="en-US"/>
        </w:rPr>
        <w:t>The employer supports a travel pass for a reasonable route required for work. An unlimited nationwide or premium product is reimbursable only if it is no more expensive than a cheaper alternative covering the necessary route.</w:t>
      </w:r>
    </w:p>
    <w:p>
      <w:pPr>
        <w:pStyle w:val="Heading1"/>
        <w:keepNext/>
        <w:keepLines/>
      </w:pPr>
      <w:r>
        <w:rPr>
          <w:lang w:val="en-US" w:eastAsia="en-US"/>
        </w:rPr>
        <w:t>4. Commuting by personal vehicle</w:t>
      </w:r>
    </w:p>
    <w:p>
      <w:r>
        <w:rPr>
          <w:rFonts w:ascii="Liberation Sans" w:hAnsi="Liberation Sans"/>
          <w:b w:val="0"/>
          <w:color w:val="263238"/>
          <w:sz w:val="20"/>
          <w:lang w:val="en-US" w:eastAsia="en-US"/>
        </w:rPr>
        <w:t>Support for commuting by personal vehicle may be claimed when the one-way distance between the home and the office is at least 10 km, or when public transport does not provide a reasonable journey for the applicable work schedule.</w:t>
      </w:r>
    </w:p>
    <w:tbl>
      <w:tblPr>
        <w:tblW w:type="auto" w:w="0"/>
        <w:jc w:val="center"/>
        <w:tblLayout w:type="fixed"/>
        <w:tblLook w:firstColumn="1" w:firstRow="1" w:lastColumn="0" w:lastRow="0" w:noHBand="0" w:noVBand="1" w:val="04A0"/>
        <w:tblBorders>
          <w:top w:val="single" w:sz="5" w:space="0" w:color="C7D1D8"/>
          <w:left w:val="single" w:sz="5" w:space="0" w:color="C7D1D8"/>
          <w:bottom w:val="single" w:sz="5" w:space="0" w:color="C7D1D8"/>
          <w:right w:val="single" w:sz="5" w:space="0" w:color="C7D1D8"/>
          <w:insideH w:val="single" w:sz="5" w:space="0" w:color="C7D1D8"/>
          <w:insideV w:val="single" w:sz="5" w:space="0" w:color="C7D1D8"/>
        </w:tblBorders>
      </w:tblPr>
      <w:tblGrid>
        <w:gridCol w:w="5083"/>
        <w:gridCol w:w="5083"/>
      </w:tblGrid>
      <w:tr>
        <w:trPr>
          <w:tblHeader w:val="true"/>
          <w:cantSplit w:val="true"/>
        </w:trPr>
        <w:tc>
          <w:tcPr>
            <w:tcW w:type="dxa" w:w="2952"/>
            <w:shd w:fill="1F4E79"/>
            <w:tcMar>
              <w:top w:w="120" w:type="dxa"/>
              <w:start w:w="130" w:type="dxa"/>
              <w:bottom w:w="120" w:type="dxa"/>
              <w:end w:w="130" w:type="dxa"/>
            </w:tcMar>
            <w:vAlign w:val="center"/>
          </w:tcPr>
          <w:p>
            <w:pPr>
              <w:spacing w:after="0"/>
              <w:jc w:val="center"/>
            </w:pPr>
            <w:r>
              <w:rPr>
                <w:rFonts w:ascii="Liberation Sans" w:hAnsi="Liberation Sans"/>
                <w:b/>
                <w:color w:val="FFFFFF"/>
                <w:sz w:val="18"/>
                <w:lang w:val="en-US" w:eastAsia="en-US"/>
              </w:rPr>
              <w:t>Rule</w:t>
            </w:r>
          </w:p>
        </w:tc>
        <w:tc>
          <w:tcPr>
            <w:tcW w:type="dxa" w:w="6696"/>
            <w:shd w:fill="1F4E79"/>
            <w:tcMar>
              <w:top w:w="120" w:type="dxa"/>
              <w:start w:w="130" w:type="dxa"/>
              <w:bottom w:w="120" w:type="dxa"/>
              <w:end w:w="130" w:type="dxa"/>
            </w:tcMar>
            <w:vAlign w:val="center"/>
          </w:tcPr>
          <w:p>
            <w:pPr>
              <w:spacing w:after="0"/>
              <w:jc w:val="center"/>
            </w:pPr>
            <w:r>
              <w:rPr>
                <w:rFonts w:ascii="Liberation Sans" w:hAnsi="Liberation Sans"/>
                <w:b/>
                <w:color w:val="FFFFFF"/>
                <w:sz w:val="18"/>
                <w:lang w:val="en-US" w:eastAsia="en-US"/>
              </w:rPr>
              <w:t>Value</w:t>
            </w:r>
          </w:p>
        </w:tc>
      </w:tr>
      <w:tr>
        <w:trPr>
          <w:cantSplit w:val="true"/>
        </w:trPr>
        <w:tc>
          <w:tcPr>
            <w:tcW w:type="dxa" w:w="2952"/>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Reimbursement rate</w:t>
            </w:r>
          </w:p>
        </w:tc>
        <w:tc>
          <w:tcPr>
            <w:tcW w:type="dxa" w:w="6696"/>
            <w:tcMar>
              <w:top w:w="110" w:type="dxa"/>
              <w:start w:w="130" w:type="dxa"/>
              <w:bottom w:w="110" w:type="dxa"/>
              <w:end w:w="130" w:type="dxa"/>
            </w:tcMar>
            <w:vAlign w:val="center"/>
            <w:shd w:fill="FFFFFF"/>
          </w:tcPr>
          <w:p>
            <w:pPr>
              <w:spacing w:after="0"/>
              <w:jc w:val="center"/>
            </w:pPr>
            <w:r>
              <w:rPr>
                <w:rFonts w:ascii="Liberation Sans" w:hAnsi="Liberation Sans"/>
                <w:b w:val="0"/>
                <w:color w:val="263238"/>
                <w:sz w:val="18"/>
                <w:lang w:val="en-US" w:eastAsia="en-US"/>
              </w:rPr>
              <w:t>HUF 30 per kilometre travelled</w:t>
            </w:r>
          </w:p>
        </w:tc>
      </w:tr>
      <w:tr>
        <w:trPr>
          <w:cantSplit w:val="true"/>
        </w:trPr>
        <w:tc>
          <w:tcPr>
            <w:tcW w:type="dxa" w:w="2952"/>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Reimbursable distance</w:t>
            </w:r>
          </w:p>
        </w:tc>
        <w:tc>
          <w:tcPr>
            <w:tcW w:type="dxa" w:w="6696"/>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the return journey between the home and office using the approved route</w:t>
            </w:r>
          </w:p>
        </w:tc>
      </w:tr>
      <w:tr>
        <w:trPr>
          <w:cantSplit w:val="true"/>
        </w:trPr>
        <w:tc>
          <w:tcPr>
            <w:tcW w:type="dxa" w:w="2952"/>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Monthly maximum</w:t>
            </w:r>
          </w:p>
        </w:tc>
        <w:tc>
          <w:tcPr>
            <w:tcW w:type="dxa" w:w="6696"/>
            <w:tcMar>
              <w:top w:w="110" w:type="dxa"/>
              <w:start w:w="130" w:type="dxa"/>
              <w:bottom w:w="110" w:type="dxa"/>
              <w:end w:w="130" w:type="dxa"/>
            </w:tcMar>
            <w:vAlign w:val="center"/>
            <w:shd w:fill="FFFFFF"/>
          </w:tcPr>
          <w:p>
            <w:pPr>
              <w:spacing w:after="0"/>
              <w:jc w:val="center"/>
            </w:pPr>
            <w:r>
              <w:rPr>
                <w:rFonts w:ascii="Liberation Sans" w:hAnsi="Liberation Sans"/>
                <w:b w:val="0"/>
                <w:color w:val="263238"/>
                <w:sz w:val="18"/>
                <w:lang w:val="en-US" w:eastAsia="en-US"/>
              </w:rPr>
              <w:t>HUF 40,000</w:t>
            </w:r>
          </w:p>
        </w:tc>
      </w:tr>
      <w:tr>
        <w:trPr>
          <w:cantSplit w:val="true"/>
        </w:trPr>
        <w:tc>
          <w:tcPr>
            <w:tcW w:type="dxa" w:w="2952"/>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Eligible day</w:t>
            </w:r>
          </w:p>
        </w:tc>
        <w:tc>
          <w:tcPr>
            <w:tcW w:type="dxa" w:w="6696"/>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documented office-attendance day</w:t>
            </w:r>
          </w:p>
        </w:tc>
      </w:tr>
      <w:tr>
        <w:trPr>
          <w:cantSplit w:val="true"/>
        </w:trPr>
        <w:tc>
          <w:tcPr>
            <w:tcW w:type="dxa" w:w="2952"/>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Required document</w:t>
            </w:r>
          </w:p>
        </w:tc>
        <w:tc>
          <w:tcPr>
            <w:tcW w:type="dxa" w:w="6696"/>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route declaration and monthly attendance summary</w:t>
            </w:r>
          </w:p>
        </w:tc>
      </w:tr>
    </w:tbl>
    <w:p>
      <w:pPr>
        <w:spacing w:after="20"/>
      </w:pPr>
    </w:p>
    <w:tbl>
      <w:tblPr>
        <w:tblW w:type="auto" w:w="0"/>
        <w:jc w:val="center"/>
        <w:tblLayout w:type="fixed"/>
        <w:tblLook w:firstColumn="1" w:firstRow="1" w:lastColumn="0" w:lastRow="0" w:noHBand="0" w:noVBand="1" w:val="04A0"/>
        <w:tblBorders>
          <w:top w:val="single" w:sz="8" w:space="0" w:color="AFC9DE"/>
          <w:left w:val="single" w:sz="8" w:space="0" w:color="AFC9DE"/>
          <w:bottom w:val="single" w:sz="8" w:space="0" w:color="AFC9DE"/>
          <w:right w:val="single" w:sz="8" w:space="0" w:color="AFC9DE"/>
          <w:insideH w:val="single" w:sz="8" w:space="0" w:color="AFC9DE"/>
          <w:insideV w:val="single" w:sz="8" w:space="0" w:color="AFC9DE"/>
        </w:tblBorders>
      </w:tblPr>
      <w:tblGrid>
        <w:gridCol w:w="10166"/>
      </w:tblGrid>
      <w:tr>
        <w:tc>
          <w:tcPr>
            <w:tcW w:type="dxa" w:w="10166"/>
            <w:shd w:fill="EAF2F8"/>
            <w:tcMar>
              <w:top w:w="115" w:type="dxa"/>
              <w:start w:w="150" w:type="dxa"/>
              <w:bottom w:w="115" w:type="dxa"/>
              <w:end w:w="150" w:type="dxa"/>
            </w:tcMar>
          </w:tcPr>
          <w:p>
            <w:pPr>
              <w:spacing w:after="60"/>
            </w:pPr>
            <w:r>
              <w:rPr>
                <w:rFonts w:ascii="Liberation Sans" w:hAnsi="Liberation Sans"/>
                <w:b/>
                <w:color w:val="1F4E79"/>
                <w:sz w:val="20"/>
                <w:lang w:val="en-US" w:eastAsia="en-US"/>
              </w:rPr>
              <w:t>Important distinction</w:t>
            </w:r>
          </w:p>
          <w:p>
            <w:pPr>
              <w:spacing w:after="0"/>
            </w:pPr>
            <w:r>
              <w:rPr>
                <w:rFonts w:ascii="Liberation Sans" w:hAnsi="Liberation Sans"/>
                <w:b w:val="0"/>
                <w:color w:val="263238"/>
                <w:sz w:val="19"/>
                <w:lang w:val="en-US" w:eastAsia="en-US"/>
              </w:rPr>
              <w:t>Commuting support is not the same as using a vehicle for business purposes. POL-CAR-004 applies to a client visit or another business trip.</w:t>
            </w:r>
          </w:p>
        </w:tc>
      </w:tr>
    </w:tbl>
    <w:p>
      <w:pPr>
        <w:spacing w:after="20"/>
      </w:pPr>
    </w:p>
    <w:p>
      <w:pPr>
        <w:pStyle w:val="Heading1"/>
        <w:keepNext/>
        <w:keepLines/>
      </w:pPr>
      <w:r>
        <w:rPr>
          <w:lang w:val="en-US" w:eastAsia="en-US"/>
        </w:rPr>
        <w:t>5. Hybrid work</w:t>
      </w:r>
    </w:p>
    <w:p>
      <w:pPr>
        <w:pStyle w:val="ListBullet"/>
        <w:spacing w:after="60"/>
      </w:pPr>
      <w:r>
        <w:rPr>
          <w:rFonts w:ascii="Liberation Sans" w:hAnsi="Liberation Sans"/>
          <w:b w:val="0"/>
          <w:color w:val="263238"/>
          <w:sz w:val="20"/>
          <w:lang w:val="en-US" w:eastAsia="en-US"/>
        </w:rPr>
        <w:t>A monthly pass may be supported when it is more economical than individual tickets based on the expected office attendance.</w:t>
      </w:r>
    </w:p>
    <w:p>
      <w:pPr>
        <w:pStyle w:val="ListBullet"/>
        <w:spacing w:after="60"/>
      </w:pPr>
      <w:r>
        <w:rPr>
          <w:rFonts w:ascii="Liberation Sans" w:hAnsi="Liberation Sans"/>
          <w:b w:val="0"/>
          <w:color w:val="263238"/>
          <w:sz w:val="20"/>
          <w:lang w:val="en-US" w:eastAsia="en-US"/>
        </w:rPr>
        <w:t>Personal-vehicle reimbursement may be calculated only for actual office days.</w:t>
      </w:r>
    </w:p>
    <w:p>
      <w:pPr>
        <w:pStyle w:val="ListBullet"/>
        <w:spacing w:after="60"/>
      </w:pPr>
      <w:r>
        <w:rPr>
          <w:rFonts w:ascii="Liberation Sans" w:hAnsi="Liberation Sans"/>
          <w:b w:val="0"/>
          <w:color w:val="263238"/>
          <w:sz w:val="20"/>
          <w:lang w:val="en-US" w:eastAsia="en-US"/>
        </w:rPr>
        <w:t>Annual leave, sick leave, and fully remote workdays may not be included.</w:t>
      </w:r>
    </w:p>
    <w:p>
      <w:pPr>
        <w:pStyle w:val="ListBullet"/>
        <w:spacing w:after="60"/>
      </w:pPr>
      <w:r>
        <w:rPr>
          <w:rFonts w:ascii="Liberation Sans" w:hAnsi="Liberation Sans"/>
          <w:b w:val="0"/>
          <w:color w:val="263238"/>
          <w:sz w:val="20"/>
          <w:lang w:val="en-US" w:eastAsia="en-US"/>
        </w:rPr>
        <w:t>An employee may not claim both a full travel-pass reimbursement and mileage reimbursement for the same route in the same month.</w:t>
      </w:r>
    </w:p>
    <w:p>
      <w:pPr>
        <w:pStyle w:val="Heading1"/>
        <w:keepNext/>
        <w:keepLines/>
      </w:pPr>
      <w:r>
        <w:rPr>
          <w:lang w:val="en-US" w:eastAsia="en-US"/>
        </w:rPr>
        <w:t>6. Claim and deadline</w:t>
      </w:r>
    </w:p>
    <w:p>
      <w:r>
        <w:rPr>
          <w:rFonts w:ascii="Liberation Sans" w:hAnsi="Liberation Sans"/>
          <w:b w:val="0"/>
          <w:color w:val="263238"/>
          <w:sz w:val="20"/>
          <w:lang w:val="en-US" w:eastAsia="en-US"/>
        </w:rPr>
        <w:t>The travel pass or monthly mileage summary must be submitted by the 10th day of the month following the claim period. A late claim may be accepted within a further 30 days with a managerial justification.</w:t>
      </w:r>
    </w:p>
    <w:p>
      <w:pPr>
        <w:pStyle w:val="Heading1"/>
        <w:keepNext/>
        <w:keepLines/>
      </w:pPr>
      <w:r>
        <w:rPr>
          <w:lang w:val="en-US" w:eastAsia="en-US"/>
        </w:rPr>
        <w:t>7. Example</w:t>
      </w:r>
    </w:p>
    <w:p>
      <w:r>
        <w:rPr>
          <w:rFonts w:ascii="Liberation Sans" w:hAnsi="Liberation Sans"/>
          <w:b w:val="0"/>
          <w:color w:val="263238"/>
          <w:sz w:val="20"/>
          <w:lang w:val="en-US" w:eastAsia="en-US"/>
        </w:rPr>
        <w:t>The employee lives 18 km from the office and works on site on 10 days in a month. The return distance is 36 km, so the reimbursable distance is 360 km. The support is 360 x HUF 30 = HUF 10,800, which is below the monthly maximum.</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B7378"/>
        <w:sz w:val="16"/>
        <w:lang w:val="en-US" w:eastAsia="en-US"/>
      </w:rPr>
      <w:t>Sample document for educational purposes.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Liberation Sans" w:hAnsi="Liberation San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Liberation Sans" w:hAnsi="Liberation Sans"/>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2F7D8C"/>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b/>
      <w:bCs/>
      <w:color w:val="2632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Liberation Sans" w:hAnsi="Liberation Sans"/>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b w:val="0"/>
      <w:i/>
      <w:iCs/>
      <w:color w:val="2F7D8C"/>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Commuting Support Policy</dc:title>
  <dc:subject>Educational RAG source document</dc:subject>
  <dc:creator/>
  <cp:keywords>RAG, expense reimbursement, employee benefits, educational prototype</cp:keywords>
  <dc:description>Fictional educational document; no real organization is identified.</dc:description>
  <cp:lastModifiedBy/>
  <cp:revision>1</cp:revision>
  <dcterms:created xsi:type="dcterms:W3CDTF">2013-12-23T23:15:00Z</dcterms:created>
  <dcterms:modified xsi:type="dcterms:W3CDTF">2013-12-23T23:15:00Z</dcterms:modified>
  <cp:category/>
</cp:coreProperties>
</file>