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Liberation Sans" w:hAnsi="Liberation Sans"/>
          <w:b/>
          <w:color w:val="1F4E79"/>
          <w:sz w:val="46"/>
          <w:lang w:val="en-US" w:eastAsia="en-US"/>
        </w:rPr>
        <w:t>Personal Vehicle for Business Use Policy</w:t>
      </w:r>
    </w:p>
    <w:p>
      <w:pPr>
        <w:pStyle w:val="Subtitle"/>
      </w:pPr>
      <w:r>
        <w:rPr>
          <w:rFonts w:ascii="Liberation Sans" w:hAnsi="Liberation Sans"/>
          <w:b w:val="0"/>
          <w:color w:val="2F7D8C"/>
          <w:sz w:val="23"/>
          <w:lang w:val="en-US" w:eastAsia="en-US"/>
        </w:rPr>
        <w:t>Mileage-based reimbursement for client visits and other business trips</w:t>
      </w:r>
    </w:p>
    <w:tbl>
      <w:tblPr>
        <w:tblW w:type="auto" w:w="0"/>
        <w:jc w:val="center"/>
        <w:tblLayout w:type="fixed"/>
        <w:tblLook w:firstColumn="1" w:firstRow="1" w:lastColumn="0" w:lastRow="0" w:noHBand="0" w:noVBand="1" w:val="04A0"/>
        <w:tblBorders>
          <w:top w:val="single" w:sz="7" w:space="0" w:color="B9D9D5"/>
          <w:left w:val="single" w:sz="7" w:space="0" w:color="B9D9D5"/>
          <w:bottom w:val="single" w:sz="7" w:space="0" w:color="B9D9D5"/>
          <w:right w:val="single" w:sz="7" w:space="0" w:color="B9D9D5"/>
          <w:insideH w:val="single" w:sz="7" w:space="0" w:color="B9D9D5"/>
          <w:insideV w:val="single" w:sz="7" w:space="0" w:color="B9D9D5"/>
        </w:tblBorders>
      </w:tblPr>
      <w:tblGrid>
        <w:gridCol w:w="9648"/>
      </w:tblGrid>
      <w:tr>
        <w:tc>
          <w:tcPr>
            <w:tcW w:type="dxa" w:w="10166"/>
            <w:shd w:fill="E8F4F3"/>
            <w:tcMar>
              <w:top w:w="95" w:type="dxa"/>
              <w:start w:w="145" w:type="dxa"/>
              <w:bottom w:w="95" w:type="dxa"/>
              <w:end w:w="145" w:type="dxa"/>
            </w:tcMar>
          </w:tcPr>
          <w:p>
            <w:pPr>
              <w:jc w:val="center"/>
            </w:pPr>
            <w:r>
              <w:rPr>
                <w:rFonts w:ascii="Liberation Sans" w:hAnsi="Liberation Sans"/>
                <w:b/>
                <w:color w:val="2F7D8C"/>
                <w:sz w:val="18"/>
                <w:lang w:val="en-US" w:eastAsia="en-US"/>
              </w:rPr>
              <w:t>Sample document for educational purposes.</w:t>
            </w:r>
          </w:p>
        </w:tc>
      </w:tr>
    </w:tbl>
    <w:p>
      <w:pPr>
        <w:spacing w:after="0"/>
      </w:pPr>
    </w:p>
    <w:tbl>
      <w:tblPr>
        <w:tblW w:type="auto" w:w="0"/>
        <w:jc w:val="center"/>
        <w:tblLayout w:type="fixed"/>
        <w:tblLook w:firstColumn="1" w:firstRow="1" w:lastColumn="0" w:lastRow="0" w:noHBand="0" w:noVBand="1" w:val="04A0"/>
        <w:tblBorders>
          <w:top w:val="single" w:sz="5" w:space="0" w:color="C7D1D8"/>
          <w:left w:val="single" w:sz="5" w:space="0" w:color="C7D1D8"/>
          <w:bottom w:val="single" w:sz="5" w:space="0" w:color="C7D1D8"/>
          <w:right w:val="single" w:sz="5" w:space="0" w:color="C7D1D8"/>
          <w:insideH w:val="single" w:sz="5" w:space="0" w:color="C7D1D8"/>
          <w:insideV w:val="single" w:sz="5" w:space="0" w:color="C7D1D8"/>
        </w:tblBorders>
      </w:tblPr>
      <w:tblGrid>
        <w:gridCol w:w="5083"/>
        <w:gridCol w:w="5083"/>
      </w:tblGrid>
      <w:tr>
        <w:tc>
          <w:tcPr>
            <w:tcW w:type="dxa" w:w="2376"/>
            <w:tcMar>
              <w:top w:w="85" w:type="dxa"/>
              <w:start w:w="110" w:type="dxa"/>
              <w:bottom w:w="85" w:type="dxa"/>
              <w:end w:w="110" w:type="dxa"/>
            </w:tcMar>
            <w:vAlign w:val="center"/>
            <w:shd w:fill="EAF2F8"/>
          </w:tcPr>
          <w:p>
            <w:pPr>
              <w:spacing w:after="0"/>
            </w:pPr>
            <w:r>
              <w:rPr>
                <w:rFonts w:ascii="Liberation Sans" w:hAnsi="Liberation Sans"/>
                <w:b/>
                <w:color w:val="1F4E79"/>
                <w:sz w:val="18"/>
                <w:lang w:val="en-US" w:eastAsia="en-US"/>
              </w:rPr>
              <w:t>Document ID</w:t>
            </w:r>
          </w:p>
        </w:tc>
        <w:tc>
          <w:tcPr>
            <w:tcW w:type="dxa" w:w="7272"/>
            <w:tcMar>
              <w:top w:w="85" w:type="dxa"/>
              <w:start w:w="110" w:type="dxa"/>
              <w:bottom w:w="85" w:type="dxa"/>
              <w:end w:w="110" w:type="dxa"/>
            </w:tcMar>
            <w:vAlign w:val="center"/>
          </w:tcPr>
          <w:p>
            <w:pPr>
              <w:spacing w:after="0"/>
            </w:pPr>
            <w:r>
              <w:rPr>
                <w:rFonts w:ascii="Liberation Sans" w:hAnsi="Liberation Sans"/>
                <w:b w:val="0"/>
                <w:color w:val="263238"/>
                <w:sz w:val="18"/>
                <w:lang w:val="en-US" w:eastAsia="en-US"/>
              </w:rPr>
              <w:t>POL-CAR-004</w:t>
            </w:r>
          </w:p>
        </w:tc>
      </w:tr>
      <w:tr>
        <w:tc>
          <w:tcPr>
            <w:tcW w:type="dxa" w:w="2376"/>
            <w:tcMar>
              <w:top w:w="85" w:type="dxa"/>
              <w:start w:w="110" w:type="dxa"/>
              <w:bottom w:w="85" w:type="dxa"/>
              <w:end w:w="110" w:type="dxa"/>
            </w:tcMar>
            <w:vAlign w:val="center"/>
            <w:shd w:fill="EAF2F8"/>
          </w:tcPr>
          <w:p>
            <w:pPr>
              <w:spacing w:after="0"/>
            </w:pPr>
            <w:r>
              <w:rPr>
                <w:rFonts w:ascii="Liberation Sans" w:hAnsi="Liberation Sans"/>
                <w:b/>
                <w:color w:val="1F4E79"/>
                <w:sz w:val="18"/>
                <w:lang w:val="en-US" w:eastAsia="en-US"/>
              </w:rPr>
              <w:t>Version / effective date</w:t>
            </w:r>
          </w:p>
        </w:tc>
        <w:tc>
          <w:tcPr>
            <w:tcW w:type="dxa" w:w="7272"/>
            <w:tcMar>
              <w:top w:w="85" w:type="dxa"/>
              <w:start w:w="110" w:type="dxa"/>
              <w:bottom w:w="85" w:type="dxa"/>
              <w:end w:w="110" w:type="dxa"/>
            </w:tcMar>
            <w:vAlign w:val="center"/>
          </w:tcPr>
          <w:p>
            <w:pPr>
              <w:spacing w:after="0"/>
            </w:pPr>
            <w:r>
              <w:rPr>
                <w:rFonts w:ascii="Liberation Sans" w:hAnsi="Liberation Sans"/>
                <w:b w:val="0"/>
                <w:color w:val="263238"/>
                <w:sz w:val="18"/>
                <w:lang w:val="en-US" w:eastAsia="en-US"/>
              </w:rPr>
              <w:t>1.0 / 1 January 2026</w:t>
            </w:r>
          </w:p>
        </w:tc>
      </w:tr>
      <w:tr>
        <w:tc>
          <w:tcPr>
            <w:tcW w:type="dxa" w:w="2376"/>
            <w:tcMar>
              <w:top w:w="85" w:type="dxa"/>
              <w:start w:w="110" w:type="dxa"/>
              <w:bottom w:w="85" w:type="dxa"/>
              <w:end w:w="110" w:type="dxa"/>
            </w:tcMar>
            <w:vAlign w:val="center"/>
            <w:shd w:fill="EAF2F8"/>
          </w:tcPr>
          <w:p>
            <w:pPr>
              <w:spacing w:after="0"/>
            </w:pPr>
            <w:r>
              <w:rPr>
                <w:rFonts w:ascii="Liberation Sans" w:hAnsi="Liberation Sans"/>
                <w:b/>
                <w:color w:val="1F4E79"/>
                <w:sz w:val="18"/>
                <w:lang w:val="en-US" w:eastAsia="en-US"/>
              </w:rPr>
              <w:t>Document owner</w:t>
            </w:r>
          </w:p>
        </w:tc>
        <w:tc>
          <w:tcPr>
            <w:tcW w:type="dxa" w:w="7272"/>
            <w:tcMar>
              <w:top w:w="85" w:type="dxa"/>
              <w:start w:w="110" w:type="dxa"/>
              <w:bottom w:w="85" w:type="dxa"/>
              <w:end w:w="110" w:type="dxa"/>
            </w:tcMar>
            <w:vAlign w:val="center"/>
          </w:tcPr>
          <w:p>
            <w:pPr>
              <w:spacing w:after="0"/>
            </w:pPr>
            <w:r>
              <w:rPr>
                <w:rFonts w:ascii="Liberation Sans" w:hAnsi="Liberation Sans"/>
                <w:b w:val="0"/>
                <w:color w:val="263238"/>
                <w:sz w:val="18"/>
                <w:lang w:val="en-US" w:eastAsia="en-US"/>
              </w:rPr>
              <w:t>Finance and Operations Department</w:t>
            </w:r>
          </w:p>
        </w:tc>
      </w:tr>
      <w:tr>
        <w:tc>
          <w:tcPr>
            <w:tcW w:type="dxa" w:w="2376"/>
            <w:tcMar>
              <w:top w:w="85" w:type="dxa"/>
              <w:start w:w="110" w:type="dxa"/>
              <w:bottom w:w="85" w:type="dxa"/>
              <w:end w:w="110" w:type="dxa"/>
            </w:tcMar>
            <w:vAlign w:val="center"/>
            <w:shd w:fill="EAF2F8"/>
          </w:tcPr>
          <w:p>
            <w:pPr>
              <w:spacing w:after="0"/>
            </w:pPr>
            <w:r>
              <w:rPr>
                <w:rFonts w:ascii="Liberation Sans" w:hAnsi="Liberation Sans"/>
                <w:b/>
                <w:color w:val="1F4E79"/>
                <w:sz w:val="18"/>
                <w:lang w:val="en-US" w:eastAsia="en-US"/>
              </w:rPr>
              <w:t>Topic tags</w:t>
            </w:r>
          </w:p>
        </w:tc>
        <w:tc>
          <w:tcPr>
            <w:tcW w:type="dxa" w:w="7272"/>
            <w:tcMar>
              <w:top w:w="85" w:type="dxa"/>
              <w:start w:w="110" w:type="dxa"/>
              <w:bottom w:w="85" w:type="dxa"/>
              <w:end w:w="110" w:type="dxa"/>
            </w:tcMar>
            <w:vAlign w:val="center"/>
          </w:tcPr>
          <w:p>
            <w:pPr>
              <w:spacing w:after="0"/>
            </w:pPr>
            <w:r>
              <w:rPr>
                <w:rFonts w:ascii="Liberation Sans" w:hAnsi="Liberation Sans"/>
                <w:b w:val="0"/>
                <w:color w:val="263238"/>
                <w:sz w:val="18"/>
                <w:lang w:val="en-US" w:eastAsia="en-US"/>
              </w:rPr>
              <w:t>personal vehicle, business trip, mileage reimbursement, trip log, parking, motorway</w:t>
            </w:r>
          </w:p>
        </w:tc>
      </w:tr>
    </w:tbl>
    <w:p>
      <w:pPr>
        <w:pStyle w:val="Heading1"/>
        <w:keepNext/>
        <w:keepLines/>
      </w:pPr>
      <w:r>
        <w:rPr>
          <w:lang w:val="en-US" w:eastAsia="en-US"/>
        </w:rPr>
        <w:t>1. Scope</w:t>
      </w:r>
    </w:p>
    <w:p>
      <w:r>
        <w:rPr>
          <w:rFonts w:ascii="Liberation Sans" w:hAnsi="Liberation Sans"/>
          <w:b w:val="0"/>
          <w:color w:val="263238"/>
          <w:sz w:val="20"/>
          <w:lang w:val="en-US" w:eastAsia="en-US"/>
        </w:rPr>
        <w:t>This policy applies to business trips made using an employee's own or lawfully used vehicle. It does not apply to regular commuting between the home and the normal place of work.</w:t>
      </w:r>
    </w:p>
    <w:p>
      <w:pPr>
        <w:pStyle w:val="Heading1"/>
        <w:keepNext/>
        <w:keepLines/>
      </w:pPr>
      <w:r>
        <w:rPr>
          <w:lang w:val="en-US" w:eastAsia="en-US"/>
        </w:rPr>
        <w:t>2. Prior authorization and choice of transport</w:t>
      </w:r>
    </w:p>
    <w:p>
      <w:pPr>
        <w:pStyle w:val="ListBullet"/>
        <w:spacing w:after="60"/>
      </w:pPr>
      <w:r>
        <w:rPr>
          <w:rFonts w:ascii="Liberation Sans" w:hAnsi="Liberation Sans"/>
          <w:b w:val="0"/>
          <w:color w:val="263238"/>
          <w:sz w:val="20"/>
          <w:lang w:val="en-US" w:eastAsia="en-US"/>
        </w:rPr>
        <w:t>Prior managerial approval is required for the use of a personal vehicle.</w:t>
      </w:r>
    </w:p>
    <w:p>
      <w:pPr>
        <w:pStyle w:val="ListBullet"/>
        <w:spacing w:after="60"/>
      </w:pPr>
      <w:r>
        <w:rPr>
          <w:rFonts w:ascii="Liberation Sans" w:hAnsi="Liberation Sans"/>
          <w:b w:val="0"/>
          <w:color w:val="263238"/>
          <w:sz w:val="20"/>
          <w:lang w:val="en-US" w:eastAsia="en-US"/>
        </w:rPr>
        <w:t>A personal vehicle may be selected when it is more efficient in terms of time or total cost, or when justified by equipment transport or multiple passengers.</w:t>
      </w:r>
    </w:p>
    <w:p>
      <w:pPr>
        <w:pStyle w:val="ListBullet"/>
        <w:spacing w:after="60"/>
      </w:pPr>
      <w:r>
        <w:rPr>
          <w:rFonts w:ascii="Liberation Sans" w:hAnsi="Liberation Sans"/>
          <w:b w:val="0"/>
          <w:color w:val="263238"/>
          <w:sz w:val="20"/>
          <w:lang w:val="en-US" w:eastAsia="en-US"/>
        </w:rPr>
        <w:t>The approval must state the purpose, destination, and estimated distance of the trip.</w:t>
      </w:r>
    </w:p>
    <w:p>
      <w:pPr>
        <w:pStyle w:val="Heading1"/>
        <w:keepNext/>
        <w:keepLines/>
      </w:pPr>
      <w:r>
        <w:rPr>
          <w:lang w:val="en-US" w:eastAsia="en-US"/>
        </w:rPr>
        <w:t>3. Mileage reimbursement</w:t>
      </w:r>
    </w:p>
    <w:tbl>
      <w:tblPr>
        <w:tblW w:type="auto" w:w="0"/>
        <w:jc w:val="center"/>
        <w:tblLayout w:type="fixed"/>
        <w:tblLook w:firstColumn="1" w:firstRow="1" w:lastColumn="0" w:lastRow="0" w:noHBand="0" w:noVBand="1" w:val="04A0"/>
        <w:tblBorders>
          <w:top w:val="single" w:sz="5" w:space="0" w:color="C7D1D8"/>
          <w:left w:val="single" w:sz="5" w:space="0" w:color="C7D1D8"/>
          <w:bottom w:val="single" w:sz="5" w:space="0" w:color="C7D1D8"/>
          <w:right w:val="single" w:sz="5" w:space="0" w:color="C7D1D8"/>
          <w:insideH w:val="single" w:sz="5" w:space="0" w:color="C7D1D8"/>
          <w:insideV w:val="single" w:sz="5" w:space="0" w:color="C7D1D8"/>
        </w:tblBorders>
      </w:tblPr>
      <w:tblGrid>
        <w:gridCol w:w="5083"/>
        <w:gridCol w:w="5083"/>
      </w:tblGrid>
      <w:tr>
        <w:trPr>
          <w:tblHeader w:val="true"/>
          <w:cantSplit w:val="true"/>
        </w:trPr>
        <w:tc>
          <w:tcPr>
            <w:tcW w:type="dxa" w:w="2520"/>
            <w:shd w:fill="1F4E79"/>
            <w:tcMar>
              <w:top w:w="120" w:type="dxa"/>
              <w:start w:w="130" w:type="dxa"/>
              <w:bottom w:w="120" w:type="dxa"/>
              <w:end w:w="130" w:type="dxa"/>
            </w:tcMar>
            <w:vAlign w:val="center"/>
          </w:tcPr>
          <w:p>
            <w:pPr>
              <w:spacing w:after="0"/>
              <w:jc w:val="center"/>
            </w:pPr>
            <w:r>
              <w:rPr>
                <w:rFonts w:ascii="Liberation Sans" w:hAnsi="Liberation Sans"/>
                <w:b/>
                <w:color w:val="FFFFFF"/>
                <w:sz w:val="18"/>
                <w:lang w:val="en-US" w:eastAsia="en-US"/>
              </w:rPr>
              <w:t>Item</w:t>
            </w:r>
          </w:p>
        </w:tc>
        <w:tc>
          <w:tcPr>
            <w:tcW w:type="dxa" w:w="7128"/>
            <w:shd w:fill="1F4E79"/>
            <w:tcMar>
              <w:top w:w="120" w:type="dxa"/>
              <w:start w:w="130" w:type="dxa"/>
              <w:bottom w:w="120" w:type="dxa"/>
              <w:end w:w="130" w:type="dxa"/>
            </w:tcMar>
            <w:vAlign w:val="center"/>
          </w:tcPr>
          <w:p>
            <w:pPr>
              <w:spacing w:after="0"/>
              <w:jc w:val="center"/>
            </w:pPr>
            <w:r>
              <w:rPr>
                <w:rFonts w:ascii="Liberation Sans" w:hAnsi="Liberation Sans"/>
                <w:b/>
                <w:color w:val="FFFFFF"/>
                <w:sz w:val="18"/>
                <w:lang w:val="en-US" w:eastAsia="en-US"/>
              </w:rPr>
              <w:t>Rule</w:t>
            </w:r>
          </w:p>
        </w:tc>
      </w:tr>
      <w:tr>
        <w:trPr>
          <w:cantSplit w:val="true"/>
        </w:trPr>
        <w:tc>
          <w:tcPr>
            <w:tcW w:type="dxa" w:w="2520"/>
            <w:tcMar>
              <w:top w:w="110" w:type="dxa"/>
              <w:start w:w="130" w:type="dxa"/>
              <w:bottom w:w="110" w:type="dxa"/>
              <w:end w:w="130" w:type="dxa"/>
            </w:tcMar>
            <w:vAlign w:val="center"/>
            <w:shd w:fill="FFFFFF"/>
          </w:tcPr>
          <w:p>
            <w:pPr>
              <w:spacing w:after="0"/>
            </w:pPr>
            <w:r>
              <w:rPr>
                <w:rFonts w:ascii="Liberation Sans" w:hAnsi="Liberation Sans"/>
                <w:b w:val="0"/>
                <w:color w:val="263238"/>
                <w:sz w:val="18"/>
                <w:lang w:val="en-US" w:eastAsia="en-US"/>
              </w:rPr>
              <w:t>Base reimbursement</w:t>
            </w:r>
          </w:p>
        </w:tc>
        <w:tc>
          <w:tcPr>
            <w:tcW w:type="dxa" w:w="7128"/>
            <w:tcMar>
              <w:top w:w="110" w:type="dxa"/>
              <w:start w:w="130" w:type="dxa"/>
              <w:bottom w:w="110" w:type="dxa"/>
              <w:end w:w="130" w:type="dxa"/>
            </w:tcMar>
            <w:vAlign w:val="center"/>
            <w:shd w:fill="FFFFFF"/>
          </w:tcPr>
          <w:p>
            <w:pPr>
              <w:spacing w:after="0"/>
              <w:jc w:val="center"/>
            </w:pPr>
            <w:r>
              <w:rPr>
                <w:rFonts w:ascii="Liberation Sans" w:hAnsi="Liberation Sans"/>
                <w:b w:val="0"/>
                <w:color w:val="263238"/>
                <w:sz w:val="18"/>
                <w:lang w:val="en-US" w:eastAsia="en-US"/>
              </w:rPr>
              <w:t>HUF 45 per kilometre travelled</w:t>
            </w:r>
          </w:p>
        </w:tc>
      </w:tr>
      <w:tr>
        <w:trPr>
          <w:cantSplit w:val="true"/>
        </w:trPr>
        <w:tc>
          <w:tcPr>
            <w:tcW w:type="dxa" w:w="2520"/>
            <w:tcMar>
              <w:top w:w="110" w:type="dxa"/>
              <w:start w:w="130" w:type="dxa"/>
              <w:bottom w:w="110" w:type="dxa"/>
              <w:end w:w="130" w:type="dxa"/>
            </w:tcMar>
            <w:vAlign w:val="center"/>
          </w:tcPr>
          <w:p>
            <w:pPr>
              <w:spacing w:after="0"/>
            </w:pPr>
            <w:r>
              <w:rPr>
                <w:rFonts w:ascii="Liberation Sans" w:hAnsi="Liberation Sans"/>
                <w:b w:val="0"/>
                <w:color w:val="263238"/>
                <w:sz w:val="18"/>
                <w:lang w:val="en-US" w:eastAsia="en-US"/>
              </w:rPr>
              <w:t>Route</w:t>
            </w:r>
          </w:p>
        </w:tc>
        <w:tc>
          <w:tcPr>
            <w:tcW w:type="dxa" w:w="7128"/>
            <w:tcMar>
              <w:top w:w="110" w:type="dxa"/>
              <w:start w:w="130" w:type="dxa"/>
              <w:bottom w:w="110" w:type="dxa"/>
              <w:end w:w="130" w:type="dxa"/>
            </w:tcMar>
            <w:vAlign w:val="center"/>
          </w:tcPr>
          <w:p>
            <w:pPr>
              <w:spacing w:after="0"/>
            </w:pPr>
            <w:r>
              <w:rPr>
                <w:rFonts w:ascii="Liberation Sans" w:hAnsi="Liberation Sans"/>
                <w:b w:val="0"/>
                <w:color w:val="263238"/>
                <w:sz w:val="18"/>
                <w:lang w:val="en-US" w:eastAsia="en-US"/>
              </w:rPr>
              <w:t>the shortest reasonable route, with a justified deviation of no more than 10%</w:t>
            </w:r>
          </w:p>
        </w:tc>
      </w:tr>
      <w:tr>
        <w:trPr>
          <w:cantSplit w:val="true"/>
        </w:trPr>
        <w:tc>
          <w:tcPr>
            <w:tcW w:type="dxa" w:w="2520"/>
            <w:tcMar>
              <w:top w:w="110" w:type="dxa"/>
              <w:start w:w="130" w:type="dxa"/>
              <w:bottom w:w="110" w:type="dxa"/>
              <w:end w:w="130" w:type="dxa"/>
            </w:tcMar>
            <w:vAlign w:val="center"/>
            <w:shd w:fill="FFFFFF"/>
          </w:tcPr>
          <w:p>
            <w:pPr>
              <w:spacing w:after="0"/>
            </w:pPr>
            <w:r>
              <w:rPr>
                <w:rFonts w:ascii="Liberation Sans" w:hAnsi="Liberation Sans"/>
                <w:b w:val="0"/>
                <w:color w:val="263238"/>
                <w:sz w:val="18"/>
                <w:lang w:val="en-US" w:eastAsia="en-US"/>
              </w:rPr>
              <w:t>Fuel</w:t>
            </w:r>
          </w:p>
        </w:tc>
        <w:tc>
          <w:tcPr>
            <w:tcW w:type="dxa" w:w="7128"/>
            <w:tcMar>
              <w:top w:w="110" w:type="dxa"/>
              <w:start w:w="130" w:type="dxa"/>
              <w:bottom w:w="110" w:type="dxa"/>
              <w:end w:w="130" w:type="dxa"/>
            </w:tcMar>
            <w:vAlign w:val="center"/>
            <w:shd w:fill="FFFFFF"/>
          </w:tcPr>
          <w:p>
            <w:pPr>
              <w:spacing w:after="0"/>
            </w:pPr>
            <w:r>
              <w:rPr>
                <w:rFonts w:ascii="Liberation Sans" w:hAnsi="Liberation Sans"/>
                <w:b w:val="0"/>
                <w:color w:val="263238"/>
                <w:sz w:val="18"/>
                <w:lang w:val="en-US" w:eastAsia="en-US"/>
              </w:rPr>
              <w:t>included in the base reimbursement; a separate fuel receipt may not be claimed</w:t>
            </w:r>
          </w:p>
        </w:tc>
      </w:tr>
      <w:tr>
        <w:trPr>
          <w:cantSplit w:val="true"/>
        </w:trPr>
        <w:tc>
          <w:tcPr>
            <w:tcW w:type="dxa" w:w="2520"/>
            <w:tcMar>
              <w:top w:w="110" w:type="dxa"/>
              <w:start w:w="130" w:type="dxa"/>
              <w:bottom w:w="110" w:type="dxa"/>
              <w:end w:w="130" w:type="dxa"/>
            </w:tcMar>
            <w:vAlign w:val="center"/>
          </w:tcPr>
          <w:p>
            <w:pPr>
              <w:spacing w:after="0"/>
            </w:pPr>
            <w:r>
              <w:rPr>
                <w:rFonts w:ascii="Liberation Sans" w:hAnsi="Liberation Sans"/>
                <w:b w:val="0"/>
                <w:color w:val="263238"/>
                <w:sz w:val="18"/>
                <w:lang w:val="en-US" w:eastAsia="en-US"/>
              </w:rPr>
              <w:t>Parking</w:t>
            </w:r>
          </w:p>
        </w:tc>
        <w:tc>
          <w:tcPr>
            <w:tcW w:type="dxa" w:w="7128"/>
            <w:tcMar>
              <w:top w:w="110" w:type="dxa"/>
              <w:start w:w="130" w:type="dxa"/>
              <w:bottom w:w="110" w:type="dxa"/>
              <w:end w:w="130" w:type="dxa"/>
            </w:tcMar>
            <w:vAlign w:val="center"/>
          </w:tcPr>
          <w:p>
            <w:pPr>
              <w:spacing w:after="0"/>
            </w:pPr>
            <w:r>
              <w:rPr>
                <w:rFonts w:ascii="Liberation Sans" w:hAnsi="Liberation Sans"/>
                <w:b w:val="0"/>
                <w:color w:val="263238"/>
                <w:sz w:val="18"/>
                <w:lang w:val="en-US" w:eastAsia="en-US"/>
              </w:rPr>
              <w:t>separately reimbursable at a business location with a receipt</w:t>
            </w:r>
          </w:p>
        </w:tc>
      </w:tr>
      <w:tr>
        <w:trPr>
          <w:cantSplit w:val="true"/>
        </w:trPr>
        <w:tc>
          <w:tcPr>
            <w:tcW w:type="dxa" w:w="2520"/>
            <w:tcMar>
              <w:top w:w="110" w:type="dxa"/>
              <w:start w:w="130" w:type="dxa"/>
              <w:bottom w:w="110" w:type="dxa"/>
              <w:end w:w="130" w:type="dxa"/>
            </w:tcMar>
            <w:vAlign w:val="center"/>
            <w:shd w:fill="FFFFFF"/>
          </w:tcPr>
          <w:p>
            <w:pPr>
              <w:spacing w:after="0"/>
            </w:pPr>
            <w:r>
              <w:rPr>
                <w:rFonts w:ascii="Liberation Sans" w:hAnsi="Liberation Sans"/>
                <w:b w:val="0"/>
                <w:color w:val="263238"/>
                <w:sz w:val="18"/>
                <w:lang w:val="en-US" w:eastAsia="en-US"/>
              </w:rPr>
              <w:t>Tolls and motorway charges</w:t>
            </w:r>
          </w:p>
        </w:tc>
        <w:tc>
          <w:tcPr>
            <w:tcW w:type="dxa" w:w="7128"/>
            <w:tcMar>
              <w:top w:w="110" w:type="dxa"/>
              <w:start w:w="130" w:type="dxa"/>
              <w:bottom w:w="110" w:type="dxa"/>
              <w:end w:w="130" w:type="dxa"/>
            </w:tcMar>
            <w:vAlign w:val="center"/>
            <w:shd w:fill="FFFFFF"/>
          </w:tcPr>
          <w:p>
            <w:pPr>
              <w:spacing w:after="0"/>
            </w:pPr>
            <w:r>
              <w:rPr>
                <w:rFonts w:ascii="Liberation Sans" w:hAnsi="Liberation Sans"/>
                <w:b w:val="0"/>
                <w:color w:val="263238"/>
                <w:sz w:val="18"/>
                <w:lang w:val="en-US" w:eastAsia="en-US"/>
              </w:rPr>
              <w:t>a charge directly related to the business trip is reimbursable with a receipt</w:t>
            </w:r>
          </w:p>
        </w:tc>
      </w:tr>
      <w:tr>
        <w:trPr>
          <w:cantSplit w:val="true"/>
        </w:trPr>
        <w:tc>
          <w:tcPr>
            <w:tcW w:type="dxa" w:w="2520"/>
            <w:tcMar>
              <w:top w:w="110" w:type="dxa"/>
              <w:start w:w="130" w:type="dxa"/>
              <w:bottom w:w="110" w:type="dxa"/>
              <w:end w:w="130" w:type="dxa"/>
            </w:tcMar>
            <w:vAlign w:val="center"/>
          </w:tcPr>
          <w:p>
            <w:pPr>
              <w:spacing w:after="0"/>
            </w:pPr>
            <w:r>
              <w:rPr>
                <w:rFonts w:ascii="Liberation Sans" w:hAnsi="Liberation Sans"/>
                <w:b w:val="0"/>
                <w:color w:val="263238"/>
                <w:sz w:val="18"/>
                <w:lang w:val="en-US" w:eastAsia="en-US"/>
              </w:rPr>
              <w:t>Fine</w:t>
            </w:r>
          </w:p>
        </w:tc>
        <w:tc>
          <w:tcPr>
            <w:tcW w:type="dxa" w:w="7128"/>
            <w:tcMar>
              <w:top w:w="110" w:type="dxa"/>
              <w:start w:w="130" w:type="dxa"/>
              <w:bottom w:w="110" w:type="dxa"/>
              <w:end w:w="130" w:type="dxa"/>
            </w:tcMar>
            <w:vAlign w:val="center"/>
          </w:tcPr>
          <w:p>
            <w:pPr>
              <w:spacing w:after="0"/>
            </w:pPr>
            <w:r>
              <w:rPr>
                <w:rFonts w:ascii="Liberation Sans" w:hAnsi="Liberation Sans"/>
                <w:b w:val="0"/>
                <w:color w:val="263238"/>
                <w:sz w:val="18"/>
                <w:lang w:val="en-US" w:eastAsia="en-US"/>
              </w:rPr>
              <w:t>not reimbursable under any circumstances</w:t>
            </w:r>
          </w:p>
        </w:tc>
      </w:tr>
    </w:tbl>
    <w:p>
      <w:pPr>
        <w:spacing w:after="20"/>
      </w:pPr>
    </w:p>
    <w:p>
      <w:pPr>
        <w:pStyle w:val="Heading1"/>
        <w:keepNext/>
        <w:keepLines/>
      </w:pPr>
      <w:r>
        <w:rPr>
          <w:lang w:val="en-US" w:eastAsia="en-US"/>
        </w:rPr>
        <w:t>4. Required trip-log information</w:t>
      </w:r>
    </w:p>
    <w:p>
      <w:pPr>
        <w:pStyle w:val="ListBullet"/>
        <w:spacing w:after="60"/>
      </w:pPr>
      <w:r>
        <w:rPr>
          <w:rFonts w:ascii="Liberation Sans" w:hAnsi="Liberation Sans"/>
          <w:b w:val="0"/>
          <w:color w:val="263238"/>
          <w:sz w:val="20"/>
          <w:lang w:val="en-US" w:eastAsia="en-US"/>
        </w:rPr>
        <w:t>date of travel;</w:t>
      </w:r>
    </w:p>
    <w:p>
      <w:pPr>
        <w:pStyle w:val="ListBullet"/>
        <w:spacing w:after="60"/>
      </w:pPr>
      <w:r>
        <w:rPr>
          <w:rFonts w:ascii="Liberation Sans" w:hAnsi="Liberation Sans"/>
          <w:b w:val="0"/>
          <w:color w:val="263238"/>
          <w:sz w:val="20"/>
          <w:lang w:val="en-US" w:eastAsia="en-US"/>
        </w:rPr>
        <w:t>place of departure and destination;</w:t>
      </w:r>
    </w:p>
    <w:p>
      <w:pPr>
        <w:pStyle w:val="ListBullet"/>
        <w:spacing w:after="60"/>
      </w:pPr>
      <w:r>
        <w:rPr>
          <w:rFonts w:ascii="Liberation Sans" w:hAnsi="Liberation Sans"/>
          <w:b w:val="0"/>
          <w:color w:val="263238"/>
          <w:sz w:val="20"/>
          <w:lang w:val="en-US" w:eastAsia="en-US"/>
        </w:rPr>
        <w:t>business purpose and the client or event visited;</w:t>
      </w:r>
    </w:p>
    <w:p>
      <w:pPr>
        <w:pStyle w:val="ListBullet"/>
        <w:spacing w:after="60"/>
      </w:pPr>
      <w:r>
        <w:rPr>
          <w:rFonts w:ascii="Liberation Sans" w:hAnsi="Liberation Sans"/>
          <w:b w:val="0"/>
          <w:color w:val="263238"/>
          <w:sz w:val="20"/>
          <w:lang w:val="en-US" w:eastAsia="en-US"/>
        </w:rPr>
        <w:t>distance travelled;</w:t>
      </w:r>
    </w:p>
    <w:p>
      <w:pPr>
        <w:pStyle w:val="ListBullet"/>
        <w:spacing w:after="60"/>
      </w:pPr>
      <w:r>
        <w:rPr>
          <w:rFonts w:ascii="Liberation Sans" w:hAnsi="Liberation Sans"/>
          <w:b w:val="0"/>
          <w:color w:val="263238"/>
          <w:sz w:val="20"/>
          <w:lang w:val="en-US" w:eastAsia="en-US"/>
        </w:rPr>
        <w:t>names of passengers, where relevant;</w:t>
      </w:r>
    </w:p>
    <w:p>
      <w:pPr>
        <w:pStyle w:val="ListBullet"/>
        <w:spacing w:after="60"/>
      </w:pPr>
      <w:r>
        <w:rPr>
          <w:rFonts w:ascii="Liberation Sans" w:hAnsi="Liberation Sans"/>
          <w:b w:val="0"/>
          <w:color w:val="263238"/>
          <w:sz w:val="20"/>
          <w:lang w:val="en-US" w:eastAsia="en-US"/>
        </w:rPr>
        <w:t>references to parking and toll receipts;</w:t>
      </w:r>
    </w:p>
    <w:p>
      <w:pPr>
        <w:pStyle w:val="Heading1"/>
        <w:keepNext/>
        <w:keepLines/>
      </w:pPr>
      <w:r>
        <w:rPr>
          <w:lang w:val="en-US" w:eastAsia="en-US"/>
        </w:rPr>
        <w:t>5. Prohibition of duplicate reimbursement</w:t>
      </w:r>
    </w:p>
    <w:p>
      <w:r>
        <w:rPr>
          <w:rFonts w:ascii="Liberation Sans" w:hAnsi="Liberation Sans"/>
          <w:b w:val="0"/>
          <w:color w:val="263238"/>
          <w:sz w:val="20"/>
          <w:lang w:val="en-US" w:eastAsia="en-US"/>
        </w:rPr>
        <w:t>Mileage reimbursement, fuel costs, rental-car costs, and commuting support may not be claimed simultaneously for the same journey segment. If the trip starts at the office and continues to a client, only the business segment from the office to the client and back may be reimbursed.</w:t>
      </w:r>
    </w:p>
    <w:p>
      <w:pPr>
        <w:pStyle w:val="Heading1"/>
        <w:keepNext/>
        <w:keepLines/>
      </w:pPr>
      <w:r>
        <w:rPr>
          <w:lang w:val="en-US" w:eastAsia="en-US"/>
        </w:rPr>
        <w:t>6. Passengers and cost allocation</w:t>
      </w:r>
    </w:p>
    <w:p>
      <w:r>
        <w:rPr>
          <w:rFonts w:ascii="Liberation Sans" w:hAnsi="Liberation Sans"/>
          <w:b w:val="0"/>
          <w:color w:val="263238"/>
          <w:sz w:val="20"/>
          <w:lang w:val="en-US" w:eastAsia="en-US"/>
        </w:rPr>
        <w:t>When several employees travel in the same vehicle, only the employee using the vehicle and submitting the trip log may claim mileage reimbursement. Other passengers may not claim separate transport costs for the same trip.</w:t>
      </w:r>
    </w:p>
    <w:p>
      <w:pPr>
        <w:pStyle w:val="Heading1"/>
        <w:keepNext/>
        <w:keepLines/>
      </w:pPr>
      <w:r>
        <w:rPr>
          <w:lang w:val="en-US" w:eastAsia="en-US"/>
        </w:rPr>
        <w:t>7. Calculation examples</w:t>
      </w:r>
    </w:p>
    <w:tbl>
      <w:tblPr>
        <w:tblW w:type="auto" w:w="0"/>
        <w:jc w:val="center"/>
        <w:tblLayout w:type="fixed"/>
        <w:tblLook w:firstColumn="1" w:firstRow="1" w:lastColumn="0" w:lastRow="0" w:noHBand="0" w:noVBand="1" w:val="04A0"/>
        <w:tblBorders>
          <w:top w:val="single" w:sz="5" w:space="0" w:color="C7D1D8"/>
          <w:left w:val="single" w:sz="5" w:space="0" w:color="C7D1D8"/>
          <w:bottom w:val="single" w:sz="5" w:space="0" w:color="C7D1D8"/>
          <w:right w:val="single" w:sz="5" w:space="0" w:color="C7D1D8"/>
          <w:insideH w:val="single" w:sz="5" w:space="0" w:color="C7D1D8"/>
          <w:insideV w:val="single" w:sz="5" w:space="0" w:color="C7D1D8"/>
        </w:tblBorders>
      </w:tblPr>
      <w:tblGrid>
        <w:gridCol w:w="3389"/>
        <w:gridCol w:w="3389"/>
        <w:gridCol w:w="3389"/>
      </w:tblGrid>
      <w:tr>
        <w:trPr>
          <w:tblHeader w:val="true"/>
          <w:cantSplit w:val="true"/>
        </w:trPr>
        <w:tc>
          <w:tcPr>
            <w:tcW w:type="dxa" w:w="3168"/>
            <w:shd w:fill="1F4E79"/>
            <w:tcMar>
              <w:top w:w="120" w:type="dxa"/>
              <w:start w:w="130" w:type="dxa"/>
              <w:bottom w:w="120" w:type="dxa"/>
              <w:end w:w="130" w:type="dxa"/>
            </w:tcMar>
            <w:vAlign w:val="center"/>
          </w:tcPr>
          <w:p>
            <w:pPr>
              <w:spacing w:after="0"/>
              <w:jc w:val="center"/>
            </w:pPr>
            <w:r>
              <w:rPr>
                <w:rFonts w:ascii="Liberation Sans" w:hAnsi="Liberation Sans"/>
                <w:b/>
                <w:color w:val="FFFFFF"/>
                <w:sz w:val="18"/>
                <w:lang w:val="en-US" w:eastAsia="en-US"/>
              </w:rPr>
              <w:t>Case</w:t>
            </w:r>
          </w:p>
        </w:tc>
        <w:tc>
          <w:tcPr>
            <w:tcW w:type="dxa" w:w="4032"/>
            <w:shd w:fill="1F4E79"/>
            <w:tcMar>
              <w:top w:w="120" w:type="dxa"/>
              <w:start w:w="130" w:type="dxa"/>
              <w:bottom w:w="120" w:type="dxa"/>
              <w:end w:w="130" w:type="dxa"/>
            </w:tcMar>
            <w:vAlign w:val="center"/>
          </w:tcPr>
          <w:p>
            <w:pPr>
              <w:spacing w:after="0"/>
              <w:jc w:val="center"/>
            </w:pPr>
            <w:r>
              <w:rPr>
                <w:rFonts w:ascii="Liberation Sans" w:hAnsi="Liberation Sans"/>
                <w:b/>
                <w:color w:val="FFFFFF"/>
                <w:sz w:val="18"/>
                <w:lang w:val="en-US" w:eastAsia="en-US"/>
              </w:rPr>
              <w:t>Calculation</w:t>
            </w:r>
          </w:p>
        </w:tc>
        <w:tc>
          <w:tcPr>
            <w:tcW w:type="dxa" w:w="2448"/>
            <w:shd w:fill="1F4E79"/>
            <w:tcMar>
              <w:top w:w="120" w:type="dxa"/>
              <w:start w:w="130" w:type="dxa"/>
              <w:bottom w:w="120" w:type="dxa"/>
              <w:end w:w="130" w:type="dxa"/>
            </w:tcMar>
            <w:vAlign w:val="center"/>
          </w:tcPr>
          <w:p>
            <w:pPr>
              <w:spacing w:after="0"/>
              <w:jc w:val="center"/>
            </w:pPr>
            <w:r>
              <w:rPr>
                <w:rFonts w:ascii="Liberation Sans" w:hAnsi="Liberation Sans"/>
                <w:b/>
                <w:color w:val="FFFFFF"/>
                <w:sz w:val="18"/>
                <w:lang w:val="en-US" w:eastAsia="en-US"/>
              </w:rPr>
              <w:t>Reimbursable amount</w:t>
            </w:r>
          </w:p>
        </w:tc>
      </w:tr>
      <w:tr>
        <w:trPr>
          <w:cantSplit w:val="true"/>
        </w:trPr>
        <w:tc>
          <w:tcPr>
            <w:tcW w:type="dxa" w:w="3168"/>
            <w:tcMar>
              <w:top w:w="110" w:type="dxa"/>
              <w:start w:w="130" w:type="dxa"/>
              <w:bottom w:w="110" w:type="dxa"/>
              <w:end w:w="130" w:type="dxa"/>
            </w:tcMar>
            <w:vAlign w:val="center"/>
            <w:shd w:fill="FFFFFF"/>
          </w:tcPr>
          <w:p>
            <w:pPr>
              <w:spacing w:after="0"/>
            </w:pPr>
            <w:r>
              <w:rPr>
                <w:rFonts w:ascii="Liberation Sans" w:hAnsi="Liberation Sans"/>
                <w:b w:val="0"/>
                <w:color w:val="263238"/>
                <w:sz w:val="18"/>
                <w:lang w:val="en-US" w:eastAsia="en-US"/>
              </w:rPr>
              <w:t>Budapest-Győr-Budapest, 250 km</w:t>
            </w:r>
          </w:p>
        </w:tc>
        <w:tc>
          <w:tcPr>
            <w:tcW w:type="dxa" w:w="4032"/>
            <w:tcMar>
              <w:top w:w="110" w:type="dxa"/>
              <w:start w:w="130" w:type="dxa"/>
              <w:bottom w:w="110" w:type="dxa"/>
              <w:end w:w="130" w:type="dxa"/>
            </w:tcMar>
            <w:vAlign w:val="center"/>
            <w:shd w:fill="FFFFFF"/>
          </w:tcPr>
          <w:p>
            <w:pPr>
              <w:spacing w:after="0"/>
              <w:jc w:val="center"/>
            </w:pPr>
            <w:r>
              <w:rPr>
                <w:rFonts w:ascii="Liberation Sans" w:hAnsi="Liberation Sans"/>
                <w:b w:val="0"/>
                <w:color w:val="263238"/>
                <w:sz w:val="18"/>
                <w:lang w:val="en-US" w:eastAsia="en-US"/>
              </w:rPr>
              <w:t>250 x HUF 45</w:t>
            </w:r>
          </w:p>
        </w:tc>
        <w:tc>
          <w:tcPr>
            <w:tcW w:type="dxa" w:w="2448"/>
            <w:tcMar>
              <w:top w:w="110" w:type="dxa"/>
              <w:start w:w="130" w:type="dxa"/>
              <w:bottom w:w="110" w:type="dxa"/>
              <w:end w:w="130" w:type="dxa"/>
            </w:tcMar>
            <w:vAlign w:val="center"/>
            <w:shd w:fill="FFFFFF"/>
          </w:tcPr>
          <w:p>
            <w:pPr>
              <w:spacing w:after="0"/>
              <w:jc w:val="center"/>
            </w:pPr>
            <w:r>
              <w:rPr>
                <w:rFonts w:ascii="Liberation Sans" w:hAnsi="Liberation Sans"/>
                <w:b w:val="0"/>
                <w:color w:val="263238"/>
                <w:sz w:val="18"/>
                <w:lang w:val="en-US" w:eastAsia="en-US"/>
              </w:rPr>
              <w:t>HUF 11,250</w:t>
            </w:r>
          </w:p>
        </w:tc>
      </w:tr>
      <w:tr>
        <w:trPr>
          <w:cantSplit w:val="true"/>
        </w:trPr>
        <w:tc>
          <w:tcPr>
            <w:tcW w:type="dxa" w:w="3168"/>
            <w:tcMar>
              <w:top w:w="110" w:type="dxa"/>
              <w:start w:w="130" w:type="dxa"/>
              <w:bottom w:w="110" w:type="dxa"/>
              <w:end w:w="130" w:type="dxa"/>
            </w:tcMar>
            <w:vAlign w:val="center"/>
          </w:tcPr>
          <w:p>
            <w:pPr>
              <w:spacing w:after="0"/>
            </w:pPr>
            <w:r>
              <w:rPr>
                <w:rFonts w:ascii="Liberation Sans" w:hAnsi="Liberation Sans"/>
                <w:b w:val="0"/>
                <w:color w:val="263238"/>
                <w:sz w:val="18"/>
                <w:lang w:val="en-US" w:eastAsia="en-US"/>
              </w:rPr>
              <w:t>180 km journey + HUF 4,500 parking</w:t>
            </w:r>
          </w:p>
        </w:tc>
        <w:tc>
          <w:tcPr>
            <w:tcW w:type="dxa" w:w="4032"/>
            <w:tcMar>
              <w:top w:w="110" w:type="dxa"/>
              <w:start w:w="130" w:type="dxa"/>
              <w:bottom w:w="110" w:type="dxa"/>
              <w:end w:w="130" w:type="dxa"/>
            </w:tcMar>
            <w:vAlign w:val="center"/>
          </w:tcPr>
          <w:p>
            <w:pPr>
              <w:spacing w:after="0"/>
            </w:pPr>
            <w:r>
              <w:rPr>
                <w:rFonts w:ascii="Liberation Sans" w:hAnsi="Liberation Sans"/>
                <w:b w:val="0"/>
                <w:color w:val="263238"/>
                <w:sz w:val="18"/>
                <w:lang w:val="en-US" w:eastAsia="en-US"/>
              </w:rPr>
              <w:t>180 x HUF 45 + HUF 4,500</w:t>
            </w:r>
          </w:p>
        </w:tc>
        <w:tc>
          <w:tcPr>
            <w:tcW w:type="dxa" w:w="2448"/>
            <w:tcMar>
              <w:top w:w="110" w:type="dxa"/>
              <w:start w:w="130" w:type="dxa"/>
              <w:bottom w:w="110" w:type="dxa"/>
              <w:end w:w="130" w:type="dxa"/>
            </w:tcMar>
            <w:vAlign w:val="center"/>
          </w:tcPr>
          <w:p>
            <w:pPr>
              <w:spacing w:after="0"/>
              <w:jc w:val="center"/>
            </w:pPr>
            <w:r>
              <w:rPr>
                <w:rFonts w:ascii="Liberation Sans" w:hAnsi="Liberation Sans"/>
                <w:b w:val="0"/>
                <w:color w:val="263238"/>
                <w:sz w:val="18"/>
                <w:lang w:val="en-US" w:eastAsia="en-US"/>
              </w:rPr>
              <w:t>HUF 12,600</w:t>
            </w:r>
          </w:p>
        </w:tc>
      </w:tr>
      <w:tr>
        <w:trPr>
          <w:cantSplit w:val="true"/>
        </w:trPr>
        <w:tc>
          <w:tcPr>
            <w:tcW w:type="dxa" w:w="3168"/>
            <w:tcMar>
              <w:top w:w="110" w:type="dxa"/>
              <w:start w:w="130" w:type="dxa"/>
              <w:bottom w:w="110" w:type="dxa"/>
              <w:end w:w="130" w:type="dxa"/>
            </w:tcMar>
            <w:vAlign w:val="center"/>
            <w:shd w:fill="FFFFFF"/>
          </w:tcPr>
          <w:p>
            <w:pPr>
              <w:spacing w:after="0"/>
            </w:pPr>
            <w:r>
              <w:rPr>
                <w:rFonts w:ascii="Liberation Sans" w:hAnsi="Liberation Sans"/>
                <w:b w:val="0"/>
                <w:color w:val="263238"/>
                <w:sz w:val="18"/>
                <w:lang w:val="en-US" w:eastAsia="en-US"/>
              </w:rPr>
              <w:t>100 km journey + HUF 20,000 fuel receipt</w:t>
            </w:r>
          </w:p>
        </w:tc>
        <w:tc>
          <w:tcPr>
            <w:tcW w:type="dxa" w:w="4032"/>
            <w:tcMar>
              <w:top w:w="110" w:type="dxa"/>
              <w:start w:w="130" w:type="dxa"/>
              <w:bottom w:w="110" w:type="dxa"/>
              <w:end w:w="130" w:type="dxa"/>
            </w:tcMar>
            <w:vAlign w:val="center"/>
            <w:shd w:fill="FFFFFF"/>
          </w:tcPr>
          <w:p>
            <w:pPr>
              <w:spacing w:after="0"/>
            </w:pPr>
            <w:r>
              <w:rPr>
                <w:rFonts w:ascii="Liberation Sans" w:hAnsi="Liberation Sans"/>
                <w:b w:val="0"/>
                <w:color w:val="263238"/>
                <w:sz w:val="18"/>
                <w:lang w:val="en-US" w:eastAsia="en-US"/>
              </w:rPr>
              <w:t>100 x HUF 45; fuel is not reimbursable separately</w:t>
            </w:r>
          </w:p>
        </w:tc>
        <w:tc>
          <w:tcPr>
            <w:tcW w:type="dxa" w:w="2448"/>
            <w:tcMar>
              <w:top w:w="110" w:type="dxa"/>
              <w:start w:w="130" w:type="dxa"/>
              <w:bottom w:w="110" w:type="dxa"/>
              <w:end w:w="130" w:type="dxa"/>
            </w:tcMar>
            <w:vAlign w:val="center"/>
            <w:shd w:fill="FFFFFF"/>
          </w:tcPr>
          <w:p>
            <w:pPr>
              <w:spacing w:after="0"/>
              <w:jc w:val="center"/>
            </w:pPr>
            <w:r>
              <w:rPr>
                <w:rFonts w:ascii="Liberation Sans" w:hAnsi="Liberation Sans"/>
                <w:b w:val="0"/>
                <w:color w:val="263238"/>
                <w:sz w:val="18"/>
                <w:lang w:val="en-US" w:eastAsia="en-US"/>
              </w:rPr>
              <w:t>HUF 4,500</w:t>
            </w:r>
          </w:p>
        </w:tc>
      </w:tr>
    </w:tbl>
    <w:p>
      <w:pPr>
        <w:spacing w:after="20"/>
      </w:pPr>
    </w:p>
    <w:tbl>
      <w:tblPr>
        <w:tblW w:type="auto" w:w="0"/>
        <w:jc w:val="center"/>
        <w:tblLayout w:type="fixed"/>
        <w:tblLook w:firstColumn="1" w:firstRow="1" w:lastColumn="0" w:lastRow="0" w:noHBand="0" w:noVBand="1" w:val="04A0"/>
        <w:tblBorders>
          <w:top w:val="single" w:sz="8" w:space="0" w:color="AFC9DE"/>
          <w:left w:val="single" w:sz="8" w:space="0" w:color="AFC9DE"/>
          <w:bottom w:val="single" w:sz="8" w:space="0" w:color="AFC9DE"/>
          <w:right w:val="single" w:sz="8" w:space="0" w:color="AFC9DE"/>
          <w:insideH w:val="single" w:sz="8" w:space="0" w:color="AFC9DE"/>
          <w:insideV w:val="single" w:sz="8" w:space="0" w:color="AFC9DE"/>
        </w:tblBorders>
      </w:tblPr>
      <w:tblGrid>
        <w:gridCol w:w="10166"/>
      </w:tblGrid>
      <w:tr>
        <w:tc>
          <w:tcPr>
            <w:tcW w:type="dxa" w:w="10166"/>
            <w:shd w:fill="EAF2F8"/>
            <w:tcMar>
              <w:top w:w="115" w:type="dxa"/>
              <w:start w:w="150" w:type="dxa"/>
              <w:bottom w:w="115" w:type="dxa"/>
              <w:end w:w="150" w:type="dxa"/>
            </w:tcMar>
          </w:tcPr>
          <w:p>
            <w:pPr>
              <w:spacing w:after="60"/>
            </w:pPr>
            <w:r>
              <w:rPr>
                <w:rFonts w:ascii="Liberation Sans" w:hAnsi="Liberation Sans"/>
                <w:b/>
                <w:color w:val="1F4E79"/>
                <w:sz w:val="20"/>
                <w:lang w:val="en-US" w:eastAsia="en-US"/>
              </w:rPr>
              <w:t>Electric and hybrid vehicles</w:t>
            </w:r>
          </w:p>
          <w:p>
            <w:pPr>
              <w:spacing w:after="0"/>
            </w:pPr>
            <w:r>
              <w:rPr>
                <w:rFonts w:ascii="Liberation Sans" w:hAnsi="Liberation Sans"/>
                <w:b w:val="0"/>
                <w:color w:val="263238"/>
                <w:sz w:val="19"/>
                <w:lang w:val="en-US" w:eastAsia="en-US"/>
              </w:rPr>
              <w:t>In the prototype, the same reimbursement rate of HUF 45/km applies to all powertrain types. A charging receipt may not be claimed separately.</w:t>
            </w:r>
          </w:p>
        </w:tc>
      </w:tr>
    </w:tbl>
    <w:p>
      <w:pPr>
        <w:spacing w:after="20"/>
      </w:pPr>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6B7378"/>
        <w:sz w:val="16"/>
        <w:lang w:val="en-US" w:eastAsia="en-US"/>
      </w:rPr>
      <w:t>Sample document for educational purposes.</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2" w:lineRule="auto"/>
    </w:pPr>
    <w:rPr>
      <w:rFonts w:ascii="Liberation Sans" w:hAnsi="Liberation Sans"/>
      <w:color w:val="26323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Liberation Sans" w:hAnsi="Liberation Sans"/>
      <w:b/>
      <w:bCs/>
      <w:color w:val="1F4E79"/>
      <w:sz w:val="31"/>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Liberation Sans" w:hAnsi="Liberation Sans"/>
      <w:b/>
      <w:bCs/>
      <w:color w:val="2F7D8C"/>
      <w:sz w:val="24"/>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Liberation Sans" w:hAnsi="Liberation Sans"/>
      <w:b/>
      <w:bCs/>
      <w:color w:val="26323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Liberation Sans" w:hAnsi="Liberation Sans"/>
      <w:b/>
      <w:color w:val="1F4E79"/>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Liberation Sans" w:hAnsi="Liberation Sans"/>
      <w:b w:val="0"/>
      <w:i/>
      <w:iCs/>
      <w:color w:val="2F7D8C"/>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 Vehicle for Business Use Policy</dc:title>
  <dc:subject>Educational RAG source document</dc:subject>
  <dc:creator/>
  <cp:keywords>RAG, expense reimbursement, employee benefits, educational prototype</cp:keywords>
  <dc:description>Fictional educational document; no real organization is identified.</dc:description>
  <cp:lastModifiedBy/>
  <cp:revision>1</cp:revision>
  <dcterms:created xsi:type="dcterms:W3CDTF">2013-12-23T23:15:00Z</dcterms:created>
  <dcterms:modified xsi:type="dcterms:W3CDTF">2013-12-23T23:15:00Z</dcterms:modified>
  <cp:category/>
</cp:coreProperties>
</file>